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450A0" w14:textId="5F98E9BC" w:rsidR="0011271E" w:rsidRDefault="0088355D" w:rsidP="0011271E">
      <w:pPr>
        <w:jc w:val="center"/>
        <w:outlineLvl w:val="0"/>
        <w:rPr>
          <w:b/>
        </w:rPr>
      </w:pPr>
      <w:r>
        <w:rPr>
          <w:b/>
        </w:rPr>
        <w:t>The Influence of Diversity and</w:t>
      </w:r>
      <w:r w:rsidR="0089796A">
        <w:rPr>
          <w:b/>
        </w:rPr>
        <w:t xml:space="preserve"> </w:t>
      </w:r>
      <w:r w:rsidR="002E3743">
        <w:rPr>
          <w:b/>
        </w:rPr>
        <w:t xml:space="preserve">Qualifications in Presidential Nominations: The Case of United States Attorneys </w:t>
      </w:r>
    </w:p>
    <w:p w14:paraId="7695E6BC" w14:textId="77777777" w:rsidR="0011271E" w:rsidRDefault="0011271E" w:rsidP="0011271E">
      <w:pPr>
        <w:jc w:val="center"/>
        <w:rPr>
          <w:b/>
        </w:rPr>
      </w:pPr>
    </w:p>
    <w:p w14:paraId="6FC1A79D" w14:textId="77777777" w:rsidR="0011271E" w:rsidRDefault="0011271E" w:rsidP="0011271E"/>
    <w:p w14:paraId="734832D6" w14:textId="77777777" w:rsidR="0011271E" w:rsidRDefault="0011271E" w:rsidP="0011271E"/>
    <w:p w14:paraId="33D31EE0" w14:textId="77777777" w:rsidR="0011271E" w:rsidRDefault="0011271E" w:rsidP="0011271E"/>
    <w:p w14:paraId="455436D7" w14:textId="77777777" w:rsidR="0011271E" w:rsidRDefault="0011271E" w:rsidP="0011271E"/>
    <w:p w14:paraId="4AC8AA2D" w14:textId="77777777" w:rsidR="0011271E" w:rsidRDefault="0011271E" w:rsidP="0011271E"/>
    <w:p w14:paraId="0F35528C" w14:textId="77777777" w:rsidR="0011271E" w:rsidRDefault="0011271E" w:rsidP="0011271E"/>
    <w:p w14:paraId="0BAC824E" w14:textId="77777777" w:rsidR="0011271E" w:rsidRDefault="0011271E" w:rsidP="0011271E"/>
    <w:p w14:paraId="740F9BB6" w14:textId="77777777" w:rsidR="0011271E" w:rsidRPr="00156093" w:rsidRDefault="0011271E" w:rsidP="0011271E"/>
    <w:p w14:paraId="4400EB82" w14:textId="77777777" w:rsidR="0011271E" w:rsidRDefault="0011271E" w:rsidP="0011271E">
      <w:pPr>
        <w:spacing w:line="480" w:lineRule="auto"/>
      </w:pPr>
    </w:p>
    <w:p w14:paraId="1D57A314" w14:textId="77777777" w:rsidR="00D26B6A" w:rsidRDefault="00D26B6A" w:rsidP="0011271E">
      <w:pPr>
        <w:spacing w:line="480" w:lineRule="auto"/>
      </w:pPr>
    </w:p>
    <w:p w14:paraId="461800F8" w14:textId="77777777" w:rsidR="00D26B6A" w:rsidRDefault="00D26B6A" w:rsidP="0011271E">
      <w:pPr>
        <w:spacing w:line="480" w:lineRule="auto"/>
      </w:pPr>
    </w:p>
    <w:p w14:paraId="21EA079B" w14:textId="77777777" w:rsidR="00D26B6A" w:rsidRDefault="00D26B6A" w:rsidP="0011271E">
      <w:pPr>
        <w:spacing w:line="480" w:lineRule="auto"/>
      </w:pPr>
    </w:p>
    <w:p w14:paraId="2A329329" w14:textId="77777777" w:rsidR="00D26B6A" w:rsidRDefault="00D26B6A" w:rsidP="0011271E">
      <w:pPr>
        <w:spacing w:line="480" w:lineRule="auto"/>
      </w:pPr>
    </w:p>
    <w:p w14:paraId="71445B2A" w14:textId="77777777" w:rsidR="00D26B6A" w:rsidRDefault="00D26B6A" w:rsidP="0011271E">
      <w:pPr>
        <w:spacing w:line="480" w:lineRule="auto"/>
      </w:pPr>
    </w:p>
    <w:p w14:paraId="666A6134" w14:textId="77777777" w:rsidR="00D26B6A" w:rsidRDefault="00D26B6A" w:rsidP="0011271E">
      <w:pPr>
        <w:spacing w:line="480" w:lineRule="auto"/>
      </w:pPr>
    </w:p>
    <w:p w14:paraId="48CC042E" w14:textId="77777777" w:rsidR="00CA2F8F" w:rsidRDefault="00CA2F8F" w:rsidP="0011271E">
      <w:pPr>
        <w:spacing w:line="480" w:lineRule="auto"/>
      </w:pPr>
    </w:p>
    <w:p w14:paraId="7257C213" w14:textId="77777777" w:rsidR="0011271E" w:rsidRDefault="0011271E" w:rsidP="0011271E">
      <w:pPr>
        <w:spacing w:line="480" w:lineRule="auto"/>
      </w:pPr>
    </w:p>
    <w:p w14:paraId="2BBD49AA" w14:textId="77777777" w:rsidR="0011271E" w:rsidRPr="007170CE" w:rsidRDefault="0011271E" w:rsidP="0011271E">
      <w:pPr>
        <w:spacing w:line="480" w:lineRule="auto"/>
      </w:pPr>
      <w:r w:rsidRPr="00154567">
        <w:rPr>
          <w:b/>
        </w:rPr>
        <w:t>Abstract</w:t>
      </w:r>
      <w:r>
        <w:t xml:space="preserve">: </w:t>
      </w:r>
    </w:p>
    <w:p w14:paraId="604FE32E" w14:textId="00A80AAF" w:rsidR="00CC1874" w:rsidRDefault="000D12B1">
      <w:pPr>
        <w:spacing w:line="240" w:lineRule="auto"/>
      </w:pPr>
      <w:r>
        <w:t xml:space="preserve">In this project, we employ </w:t>
      </w:r>
      <w:r w:rsidR="0011271E" w:rsidRPr="005E0FA5">
        <w:t xml:space="preserve">original data on </w:t>
      </w:r>
      <w:r>
        <w:t xml:space="preserve">the </w:t>
      </w:r>
      <w:r w:rsidR="00661BDB">
        <w:t>future</w:t>
      </w:r>
      <w:r>
        <w:t xml:space="preserve"> </w:t>
      </w:r>
      <w:r w:rsidR="008B5C7F">
        <w:t xml:space="preserve">positions </w:t>
      </w:r>
      <w:r>
        <w:t xml:space="preserve">of </w:t>
      </w:r>
      <w:r w:rsidR="0011271E" w:rsidRPr="005E0FA5">
        <w:t xml:space="preserve">United States Attorneys (USAs) </w:t>
      </w:r>
      <w:r>
        <w:t>to</w:t>
      </w:r>
      <w:r w:rsidRPr="005E0FA5">
        <w:t xml:space="preserve"> </w:t>
      </w:r>
      <w:r w:rsidR="0011271E" w:rsidRPr="005E0FA5">
        <w:t xml:space="preserve">assess the influence of </w:t>
      </w:r>
      <w:r w:rsidR="0095453E">
        <w:t>formal qualifications</w:t>
      </w:r>
      <w:r w:rsidR="0011271E" w:rsidRPr="005E0FA5">
        <w:t xml:space="preserve"> in structuring the post-service careers</w:t>
      </w:r>
      <w:r w:rsidR="0011271E">
        <w:t xml:space="preserve"> of </w:t>
      </w:r>
      <w:r>
        <w:t xml:space="preserve">a group of </w:t>
      </w:r>
      <w:r w:rsidR="0011271E">
        <w:t xml:space="preserve">elite </w:t>
      </w:r>
      <w:r w:rsidR="006124C2">
        <w:t>political</w:t>
      </w:r>
      <w:r w:rsidR="0011271E">
        <w:t xml:space="preserve"> figures.</w:t>
      </w:r>
      <w:r w:rsidR="00EF4DBE">
        <w:t xml:space="preserve"> As compared to white male</w:t>
      </w:r>
      <w:r w:rsidR="0095453E">
        <w:t xml:space="preserve"> USAs</w:t>
      </w:r>
      <w:r w:rsidR="00EF4DBE">
        <w:t xml:space="preserve">, we find that presidents are significantly more </w:t>
      </w:r>
      <w:r w:rsidR="0095453E">
        <w:t xml:space="preserve">likely to nominate </w:t>
      </w:r>
      <w:r w:rsidR="00EF4DBE">
        <w:t>USAs who are females or minorities</w:t>
      </w:r>
      <w:r w:rsidR="0095453E">
        <w:t xml:space="preserve"> to positions on the federal bench and in the upper federal bureaucracy</w:t>
      </w:r>
      <w:r w:rsidR="00EF4DBE">
        <w:t xml:space="preserve">. In other words, </w:t>
      </w:r>
      <w:r w:rsidR="0095453E">
        <w:t xml:space="preserve">and after controlling for a number of additional individual-level differences, we find the same professional credential—service as a USA—to be more advantageous </w:t>
      </w:r>
      <w:r w:rsidR="00D4509F">
        <w:t xml:space="preserve">in the context of nomination to these positions </w:t>
      </w:r>
      <w:r w:rsidR="0095453E">
        <w:t xml:space="preserve">for traditionally underrepresented individuals than for white men. </w:t>
      </w:r>
      <w:r w:rsidR="00D4509F">
        <w:t>We also find that more fine-grained qualifications influence the likelihood of promotion</w:t>
      </w:r>
      <w:r w:rsidR="00517761">
        <w:t>;</w:t>
      </w:r>
      <w:r w:rsidR="00D4509F">
        <w:t xml:space="preserve"> </w:t>
      </w:r>
      <w:r w:rsidR="008C6504">
        <w:t xml:space="preserve">in </w:t>
      </w:r>
      <w:r w:rsidR="00517761">
        <w:t>some instances, those individual qualifications also operate differently across traditional and nontraditional nominees.</w:t>
      </w:r>
    </w:p>
    <w:p w14:paraId="5ADCD9D3" w14:textId="77777777" w:rsidR="00CC1874" w:rsidRDefault="00CC1874">
      <w:pPr>
        <w:spacing w:line="240" w:lineRule="auto"/>
      </w:pPr>
    </w:p>
    <w:p w14:paraId="630DFA44" w14:textId="5BC37704" w:rsidR="00CC1874" w:rsidRPr="00B373E2" w:rsidRDefault="00B373E2">
      <w:pPr>
        <w:spacing w:line="240" w:lineRule="auto"/>
      </w:pPr>
      <w:r>
        <w:rPr>
          <w:b/>
        </w:rPr>
        <w:t xml:space="preserve">Keywords: </w:t>
      </w:r>
      <w:r>
        <w:t xml:space="preserve">U.S. Attorneys; presidential selection; representative bureaucracy; </w:t>
      </w:r>
    </w:p>
    <w:p w14:paraId="7D4DBDBB" w14:textId="77777777" w:rsidR="00CC1874" w:rsidRDefault="00CC1874">
      <w:pPr>
        <w:spacing w:line="240" w:lineRule="auto"/>
      </w:pPr>
    </w:p>
    <w:p w14:paraId="5986A26D" w14:textId="77777777" w:rsidR="00CC1874" w:rsidRDefault="00CC1874">
      <w:pPr>
        <w:spacing w:line="240" w:lineRule="auto"/>
      </w:pPr>
    </w:p>
    <w:p w14:paraId="17BFD4DA" w14:textId="639D550B" w:rsidR="00D06FF3" w:rsidRDefault="0011271E">
      <w:pPr>
        <w:spacing w:line="240" w:lineRule="auto"/>
      </w:pPr>
      <w:r w:rsidRPr="007170CE">
        <w:t xml:space="preserve"> </w:t>
      </w:r>
    </w:p>
    <w:p w14:paraId="1ADA8A9B" w14:textId="77777777" w:rsidR="00C017A9" w:rsidRDefault="00C017A9" w:rsidP="00BE263C">
      <w:pPr>
        <w:spacing w:line="240" w:lineRule="auto"/>
      </w:pPr>
    </w:p>
    <w:p w14:paraId="05264438" w14:textId="08B8CA9D" w:rsidR="00F91A23" w:rsidRDefault="0011271E" w:rsidP="00F91A23">
      <w:pPr>
        <w:spacing w:line="480" w:lineRule="auto"/>
      </w:pPr>
      <w:r>
        <w:tab/>
      </w:r>
      <w:r w:rsidR="0089796A">
        <w:t xml:space="preserve">In </w:t>
      </w:r>
      <w:r w:rsidR="005C4E56">
        <w:t xml:space="preserve">the fall of 1994, President Bill Clinton nominated </w:t>
      </w:r>
      <w:r w:rsidR="0089796A">
        <w:t>Vicki Miles-LaGrange</w:t>
      </w:r>
      <w:r w:rsidR="005C4E56">
        <w:t xml:space="preserve"> to a federal district judgeship in Oklahoma’s Western District. Upon her confirmation, she became the first African American and the second female to serve as a federal judge in that state. During his second term, </w:t>
      </w:r>
      <w:r w:rsidR="006068A5">
        <w:t xml:space="preserve">Clinton </w:t>
      </w:r>
      <w:r w:rsidR="00327624">
        <w:t>recommended</w:t>
      </w:r>
      <w:r w:rsidR="005C4E56">
        <w:t xml:space="preserve"> </w:t>
      </w:r>
      <w:r w:rsidR="006068A5">
        <w:t>Henry Solano</w:t>
      </w:r>
      <w:r w:rsidR="005C4E56">
        <w:t>, a Latino,</w:t>
      </w:r>
      <w:r w:rsidR="006068A5">
        <w:t xml:space="preserve"> </w:t>
      </w:r>
      <w:r w:rsidR="005C4E56">
        <w:t xml:space="preserve">to the Senate as his nominee to serve as Solicitor at the Department of Labor. Aside from the </w:t>
      </w:r>
      <w:r w:rsidR="002A21A6">
        <w:t xml:space="preserve">race and gender </w:t>
      </w:r>
      <w:r w:rsidR="005C4E56">
        <w:t xml:space="preserve">diversity </w:t>
      </w:r>
      <w:r w:rsidR="0025006D">
        <w:t xml:space="preserve">Miles-LaGrange and Solano </w:t>
      </w:r>
      <w:r w:rsidR="005C4E56">
        <w:t>brought to the bench and bureaucracy, respectively, the</w:t>
      </w:r>
      <w:r w:rsidR="002C1398">
        <w:t>se</w:t>
      </w:r>
      <w:r w:rsidR="005C4E56">
        <w:t xml:space="preserve"> two </w:t>
      </w:r>
      <w:r w:rsidR="006124C2">
        <w:t xml:space="preserve">presidential </w:t>
      </w:r>
      <w:r w:rsidR="005C4E56">
        <w:t xml:space="preserve">nominations were </w:t>
      </w:r>
      <w:r w:rsidR="0025006D">
        <w:t>otherwise</w:t>
      </w:r>
      <w:r w:rsidR="005C4E56">
        <w:t xml:space="preserve"> routine. </w:t>
      </w:r>
      <w:r w:rsidR="0025006D">
        <w:t xml:space="preserve">There was, however, </w:t>
      </w:r>
      <w:r w:rsidR="002A21A6">
        <w:t xml:space="preserve">a </w:t>
      </w:r>
      <w:r w:rsidR="0025006D">
        <w:t xml:space="preserve">notable </w:t>
      </w:r>
      <w:r w:rsidR="002A21A6">
        <w:t xml:space="preserve">link </w:t>
      </w:r>
      <w:r w:rsidR="0025006D">
        <w:t xml:space="preserve">between </w:t>
      </w:r>
      <w:r w:rsidR="002C1398">
        <w:t>them:</w:t>
      </w:r>
      <w:r w:rsidR="0025006D">
        <w:t xml:space="preserve"> both Miles-LaGrange and Solano had served as United States Attorney</w:t>
      </w:r>
      <w:r w:rsidR="00DF4264">
        <w:t>s</w:t>
      </w:r>
      <w:r w:rsidR="0025006D">
        <w:t xml:space="preserve"> (USA</w:t>
      </w:r>
      <w:r w:rsidR="00DF4264">
        <w:t>s</w:t>
      </w:r>
      <w:r w:rsidR="0025006D">
        <w:t xml:space="preserve">), the </w:t>
      </w:r>
      <w:r w:rsidR="006068A5">
        <w:t>chief prosecutor</w:t>
      </w:r>
      <w:r w:rsidR="0025006D">
        <w:t>s in the federal system.</w:t>
      </w:r>
    </w:p>
    <w:p w14:paraId="6BF0BD2E" w14:textId="785E00DA" w:rsidR="00366284" w:rsidRDefault="00441D17" w:rsidP="00F91A23">
      <w:pPr>
        <w:spacing w:line="480" w:lineRule="auto"/>
      </w:pPr>
      <w:r>
        <w:tab/>
      </w:r>
      <w:r w:rsidR="00684105">
        <w:t>USAs</w:t>
      </w:r>
      <w:r w:rsidR="00E57D6D">
        <w:t>,</w:t>
      </w:r>
      <w:r w:rsidR="00372E23">
        <w:t xml:space="preserve"> </w:t>
      </w:r>
      <w:r w:rsidR="0057295B">
        <w:t>though sometimes</w:t>
      </w:r>
      <w:r w:rsidR="00A178A8">
        <w:t xml:space="preserve"> </w:t>
      </w:r>
      <w:r w:rsidR="00E57D6D">
        <w:t>overlooked by scholars</w:t>
      </w:r>
      <w:r w:rsidR="00BF12E8">
        <w:t xml:space="preserve"> of law and politics</w:t>
      </w:r>
      <w:r w:rsidR="00E57D6D">
        <w:t>,</w:t>
      </w:r>
      <w:r w:rsidR="00BF1C69">
        <w:t xml:space="preserve"> </w:t>
      </w:r>
      <w:r w:rsidR="00CC1874">
        <w:t>are</w:t>
      </w:r>
      <w:r w:rsidR="00BF1C69">
        <w:t xml:space="preserve"> </w:t>
      </w:r>
      <w:r w:rsidR="000C3459">
        <w:t xml:space="preserve">vital </w:t>
      </w:r>
      <w:r w:rsidR="00873A01">
        <w:t xml:space="preserve">actors in executing </w:t>
      </w:r>
      <w:r w:rsidR="00BF1C69">
        <w:t>criminal justice policy</w:t>
      </w:r>
      <w:r w:rsidR="00AD15C7">
        <w:t xml:space="preserve">. </w:t>
      </w:r>
      <w:r w:rsidR="00FA3AD1">
        <w:t>But</w:t>
      </w:r>
      <w:r w:rsidR="00BF1C69">
        <w:t xml:space="preserve"> their subsequent occupations are often no less </w:t>
      </w:r>
      <w:r w:rsidR="003C22EA">
        <w:t>consequential</w:t>
      </w:r>
      <w:r w:rsidR="00BF1C69">
        <w:t>.</w:t>
      </w:r>
      <w:r w:rsidR="006717F5">
        <w:t xml:space="preserve"> L</w:t>
      </w:r>
      <w:r w:rsidR="00BF1C69">
        <w:t>ike Miles-LaG</w:t>
      </w:r>
      <w:r>
        <w:t xml:space="preserve">range, </w:t>
      </w:r>
      <w:r w:rsidR="006717F5">
        <w:t xml:space="preserve">some </w:t>
      </w:r>
      <w:r w:rsidR="00B84552">
        <w:t>are promoted to the federal courts. Others</w:t>
      </w:r>
      <w:r w:rsidR="003671F8">
        <w:t xml:space="preserve">, including Henry Solano, </w:t>
      </w:r>
      <w:r w:rsidR="00B84552">
        <w:t>are elevated to higher positions within the executive branch.</w:t>
      </w:r>
      <w:r w:rsidR="00B84552">
        <w:rPr>
          <w:rStyle w:val="FootnoteReference"/>
        </w:rPr>
        <w:footnoteReference w:id="1"/>
      </w:r>
      <w:r w:rsidR="00A71028">
        <w:t xml:space="preserve"> </w:t>
      </w:r>
      <w:r w:rsidR="00D02F70">
        <w:t>Yet</w:t>
      </w:r>
      <w:r w:rsidR="00B84552">
        <w:t>, despite the fact that the position of USA is a</w:t>
      </w:r>
      <w:r w:rsidR="000C3459">
        <w:t xml:space="preserve"> </w:t>
      </w:r>
      <w:r w:rsidR="008B5C7F">
        <w:t>common</w:t>
      </w:r>
      <w:r w:rsidR="000C3459">
        <w:t xml:space="preserve"> pipeline </w:t>
      </w:r>
      <w:r w:rsidR="00B84552">
        <w:t>for higher positions</w:t>
      </w:r>
      <w:r w:rsidR="00310ED3">
        <w:t xml:space="preserve"> in government</w:t>
      </w:r>
      <w:r w:rsidR="00372E23">
        <w:t xml:space="preserve"> that require presidential nomination</w:t>
      </w:r>
      <w:r w:rsidR="00B84552">
        <w:t>,</w:t>
      </w:r>
      <w:r w:rsidR="00A71028">
        <w:t xml:space="preserve"> we know </w:t>
      </w:r>
      <w:r w:rsidR="0097510B">
        <w:t xml:space="preserve">nothing systematic </w:t>
      </w:r>
      <w:r w:rsidR="00A71028">
        <w:t xml:space="preserve">about </w:t>
      </w:r>
      <w:r w:rsidR="00B84552">
        <w:t>the dynamics that may structure those</w:t>
      </w:r>
      <w:r w:rsidR="00A71028">
        <w:t xml:space="preserve"> post-service careers. </w:t>
      </w:r>
      <w:r w:rsidR="006717F5">
        <w:t>For instance, w</w:t>
      </w:r>
      <w:r w:rsidR="004A1D64">
        <w:t>hat role</w:t>
      </w:r>
      <w:r w:rsidR="006717F5">
        <w:t>—if any—</w:t>
      </w:r>
      <w:r w:rsidR="00327624">
        <w:t xml:space="preserve">do </w:t>
      </w:r>
      <w:r w:rsidR="006717F5">
        <w:t>variation</w:t>
      </w:r>
      <w:r w:rsidR="00327624">
        <w:t>s</w:t>
      </w:r>
      <w:r w:rsidR="006717F5">
        <w:t xml:space="preserve"> </w:t>
      </w:r>
      <w:r w:rsidR="004A1D64">
        <w:t>in individual characteristics such as performance</w:t>
      </w:r>
      <w:r w:rsidR="00372E23">
        <w:t xml:space="preserve">, </w:t>
      </w:r>
      <w:r w:rsidR="004A1D64">
        <w:t>ideology</w:t>
      </w:r>
      <w:r w:rsidR="00372E23">
        <w:t>, or educational pedigree</w:t>
      </w:r>
      <w:r w:rsidR="004A1D64">
        <w:t xml:space="preserve"> play in explaining these </w:t>
      </w:r>
      <w:r w:rsidR="00873A01">
        <w:t xml:space="preserve">USA </w:t>
      </w:r>
      <w:r w:rsidR="004A1D64">
        <w:t xml:space="preserve">promotions? Does </w:t>
      </w:r>
      <w:r w:rsidR="00DE67E7">
        <w:t>the</w:t>
      </w:r>
      <w:r w:rsidR="004A1D64">
        <w:t xml:space="preserve"> relative </w:t>
      </w:r>
      <w:r w:rsidR="006E2C14">
        <w:t xml:space="preserve">importance </w:t>
      </w:r>
      <w:r w:rsidR="00DE67E7">
        <w:t xml:space="preserve">of </w:t>
      </w:r>
      <w:r w:rsidR="006E2C14">
        <w:t>those individual</w:t>
      </w:r>
      <w:r w:rsidR="00DE67E7">
        <w:t xml:space="preserve"> characteristics </w:t>
      </w:r>
      <w:r w:rsidR="00372E23">
        <w:t xml:space="preserve">operate </w:t>
      </w:r>
      <w:r w:rsidR="00372E23">
        <w:lastRenderedPageBreak/>
        <w:t>differently for members of groups that have been traditionally underrepresented in the halls of power as compared to white men</w:t>
      </w:r>
      <w:r w:rsidR="003C22EA">
        <w:t xml:space="preserve">? </w:t>
      </w:r>
      <w:r w:rsidR="00372E23">
        <w:t xml:space="preserve">More </w:t>
      </w:r>
      <w:r w:rsidR="006124C2">
        <w:t>fundamentally</w:t>
      </w:r>
      <w:r w:rsidR="003671F8">
        <w:t xml:space="preserve">, </w:t>
      </w:r>
      <w:r w:rsidR="00372E23">
        <w:t xml:space="preserve">if </w:t>
      </w:r>
      <w:r w:rsidR="00366284">
        <w:t>the a</w:t>
      </w:r>
      <w:r w:rsidR="00372E23">
        <w:t>c</w:t>
      </w:r>
      <w:r w:rsidR="00366284">
        <w:t>knowledged elite status of USAs collectively set</w:t>
      </w:r>
      <w:r w:rsidR="00372E23">
        <w:t>s</w:t>
      </w:r>
      <w:r w:rsidR="00366284">
        <w:t xml:space="preserve"> them apart</w:t>
      </w:r>
      <w:r w:rsidR="008F1892">
        <w:t xml:space="preserve">, activating a heuristic that </w:t>
      </w:r>
      <w:r w:rsidR="00BF12E8">
        <w:t>overwhelms</w:t>
      </w:r>
      <w:r w:rsidR="008F1892">
        <w:t xml:space="preserve"> </w:t>
      </w:r>
      <w:r w:rsidR="00366284">
        <w:t xml:space="preserve">the operation of individual-level characteristics that scholars have found to be important in other </w:t>
      </w:r>
      <w:r w:rsidR="003671F8">
        <w:t xml:space="preserve">employment </w:t>
      </w:r>
      <w:r w:rsidR="00366284">
        <w:t>contexts</w:t>
      </w:r>
      <w:r w:rsidR="00372E23">
        <w:t xml:space="preserve">, is </w:t>
      </w:r>
      <w:r w:rsidR="002A21A6">
        <w:t>that</w:t>
      </w:r>
      <w:r w:rsidR="00372E23">
        <w:t xml:space="preserve"> </w:t>
      </w:r>
      <w:r w:rsidR="00A769F3">
        <w:t xml:space="preserve">disproportionately </w:t>
      </w:r>
      <w:r w:rsidR="00372E23">
        <w:t xml:space="preserve">beneficial to nontraditional </w:t>
      </w:r>
      <w:r w:rsidR="00A769F3">
        <w:t xml:space="preserve">or </w:t>
      </w:r>
      <w:r w:rsidR="00372E23">
        <w:t xml:space="preserve">traditional </w:t>
      </w:r>
      <w:r w:rsidR="00327624">
        <w:t xml:space="preserve">candidates </w:t>
      </w:r>
      <w:r w:rsidR="00372E23">
        <w:t xml:space="preserve">when it comes to these upward positions? </w:t>
      </w:r>
      <w:r w:rsidR="008B5C7F">
        <w:t>Finally, a</w:t>
      </w:r>
      <w:r w:rsidR="006717F5">
        <w:t xml:space="preserve">re the answers to questions of this sort contingent upon the partisanship of the appointing president or consistent across different types of </w:t>
      </w:r>
      <w:r w:rsidR="008B5C7F">
        <w:t>opportunities</w:t>
      </w:r>
      <w:r w:rsidR="004E6D99">
        <w:t xml:space="preserve">? </w:t>
      </w:r>
    </w:p>
    <w:p w14:paraId="68A18E64" w14:textId="59BA7093" w:rsidR="00DD272E" w:rsidRDefault="002A21A6" w:rsidP="00D4509F">
      <w:pPr>
        <w:spacing w:line="480" w:lineRule="auto"/>
        <w:ind w:firstLine="720"/>
      </w:pPr>
      <w:r>
        <w:t xml:space="preserve">These are salient issues for scholars of American politics and law. They illuminate the intersection of opportunity structures and ambition when it comes to </w:t>
      </w:r>
      <w:r w:rsidR="006124C2">
        <w:t>presidential efforts to staff</w:t>
      </w:r>
      <w:r>
        <w:t xml:space="preserve"> the public sector, and these opportunities can have profound implications. For instance, in 1997 Eric Holder vacated the position of USA for the District of Columbia to become Deputy Attorney General. Had that promotion not occurred, it seems reasonable to wonder whether he would have gone on to become the nation’s first African American Attorney General just over a decade later (Johnson 2009). More fundamentally, the demographic composition of the public sphere has consequences for public policy and even institutional legitimacy (e.g., </w:t>
      </w:r>
      <w:proofErr w:type="spellStart"/>
      <w:r>
        <w:t>Riccucci</w:t>
      </w:r>
      <w:proofErr w:type="spellEnd"/>
      <w:r>
        <w:t xml:space="preserve">, Van </w:t>
      </w:r>
      <w:proofErr w:type="spellStart"/>
      <w:r>
        <w:t>Ryzin</w:t>
      </w:r>
      <w:proofErr w:type="spellEnd"/>
      <w:r>
        <w:t xml:space="preserve">, and </w:t>
      </w:r>
      <w:proofErr w:type="spellStart"/>
      <w:r>
        <w:t>Lavent</w:t>
      </w:r>
      <w:proofErr w:type="spellEnd"/>
      <w:r>
        <w:t xml:space="preserve"> 2014; Krislov 2012; Scherer and Curry 2010; </w:t>
      </w:r>
      <w:proofErr w:type="spellStart"/>
      <w:r>
        <w:t>Mansbridge</w:t>
      </w:r>
      <w:proofErr w:type="spellEnd"/>
      <w:r>
        <w:t xml:space="preserve"> 1999).</w:t>
      </w:r>
    </w:p>
    <w:p w14:paraId="28D9AE7F" w14:textId="7300F2E6" w:rsidR="002A21A6" w:rsidRDefault="002A21A6" w:rsidP="00D4509F">
      <w:pPr>
        <w:spacing w:line="480" w:lineRule="auto"/>
        <w:ind w:firstLine="720"/>
      </w:pPr>
      <w:r>
        <w:t>In this paper, we offer the first systematic look at whether underrepresented</w:t>
      </w:r>
      <w:r w:rsidR="00981F4A">
        <w:rPr>
          <w:rStyle w:val="FootnoteReference"/>
        </w:rPr>
        <w:footnoteReference w:id="2"/>
      </w:r>
      <w:r>
        <w:t xml:space="preserve"> USAs are treated differently than white men when it comes to </w:t>
      </w:r>
      <w:r w:rsidR="006124C2">
        <w:t>the president’s nominations to higher positions in the federal government</w:t>
      </w:r>
      <w:r>
        <w:t xml:space="preserve">. We do this in two main ways, both of which </w:t>
      </w:r>
      <w:r w:rsidR="00CD7138">
        <w:t xml:space="preserve">focus </w:t>
      </w:r>
      <w:r>
        <w:t xml:space="preserve">on the centrality of qualifications. First, we consider the potential influence of a qualification that has </w:t>
      </w:r>
      <w:r>
        <w:lastRenderedPageBreak/>
        <w:t xml:space="preserve">no individual variation in our data—one’s service as a USA. USAs are select members of the legal profession who, apart from their individual-level characteristics, all possess an elite marker of quality and status by virtue of their prosecutorial service (e.g., Perry 1998). Virtually all of them go on to meaningful post-service careers; in fact, the </w:t>
      </w:r>
      <w:r>
        <w:rPr>
          <w:i/>
        </w:rPr>
        <w:t xml:space="preserve">New York Times </w:t>
      </w:r>
      <w:r>
        <w:t xml:space="preserve">once referred to the USA position as “a steppingstone for law’s best and brightest” (Weiser 2009). The public prominence of USAs, both as federal prosecutors and, for many, subsequent careers in higher echelons of the federal government, make investigating their future employment interesting in itself. Possessing this professional credential may be especially important for women and minorities, given that the career success of traditionally underrepresented populations </w:t>
      </w:r>
      <w:r w:rsidR="00EE0A2B">
        <w:t>has historically bee</w:t>
      </w:r>
      <w:r w:rsidR="00523D65">
        <w:t xml:space="preserve">n more dependent on formal, objective factors such as prior experience than their white male counterparts (Daley 1996). </w:t>
      </w:r>
      <w:r w:rsidR="006124C2">
        <w:t xml:space="preserve">However, this possibility has yet to be empirically tested. </w:t>
      </w:r>
    </w:p>
    <w:p w14:paraId="32EF1173" w14:textId="16E4D321" w:rsidR="00061A89" w:rsidRDefault="006124C2" w:rsidP="00D4509F">
      <w:pPr>
        <w:spacing w:line="480" w:lineRule="auto"/>
        <w:ind w:firstLine="720"/>
      </w:pPr>
      <w:r>
        <w:t>Our</w:t>
      </w:r>
      <w:r w:rsidR="00523D65">
        <w:t xml:space="preserve"> approach also affords us the ability to examine the notion of qualifications from a more individualistic vantage point. In other words, above and beyond their shared experience as USAs, are there individual-level </w:t>
      </w:r>
      <w:r>
        <w:t>qualifications that help structure</w:t>
      </w:r>
      <w:r w:rsidR="00523D65">
        <w:t xml:space="preserve"> these governmental promotions that run through the White House? Our access to data on USA case filings (which we treat as evidence of prosecutorial effort or performance), the ability to capture the ideological leanings of USAs and compare them to the preferences of appointing presidents, information about each USA’s educational background, and the size of the prosecutorial operations under their supervision permit us to control for formal individual-level variation </w:t>
      </w:r>
      <w:r w:rsidR="00523D65" w:rsidRPr="00FB4E03">
        <w:t>across</w:t>
      </w:r>
      <w:r w:rsidR="00523D65">
        <w:t xml:space="preserve"> USAs. </w:t>
      </w:r>
      <w:r w:rsidR="00061A89">
        <w:t xml:space="preserve">We consider the relationship of these variables to promotion decisions generally as well as whether they might operate differentially across traditional (white male) and nontraditional nominees. </w:t>
      </w:r>
    </w:p>
    <w:p w14:paraId="52DE3519" w14:textId="61581F37" w:rsidR="00523D65" w:rsidRDefault="00061A89" w:rsidP="00D4509F">
      <w:pPr>
        <w:spacing w:line="480" w:lineRule="auto"/>
        <w:ind w:firstLine="720"/>
      </w:pPr>
      <w:r>
        <w:lastRenderedPageBreak/>
        <w:t xml:space="preserve">We find that USAs who are members of traditionally underrepresented groups are significantly more likely to be nominated to federal executive and judicial positions than are white males. This suggests service as a USA is an important path for the advancement of these groups into federal governmental positions that are contingent on presidential </w:t>
      </w:r>
      <w:r w:rsidR="00981F4A">
        <w:t>selection</w:t>
      </w:r>
      <w:r>
        <w:t xml:space="preserve">. </w:t>
      </w:r>
      <w:r w:rsidR="00A769F3">
        <w:t>It also indicates that a</w:t>
      </w:r>
      <w:r w:rsidR="006124C2">
        <w:t xml:space="preserve"> </w:t>
      </w:r>
      <w:r w:rsidR="00A769F3">
        <w:t xml:space="preserve">lack of attention to diversity </w:t>
      </w:r>
      <w:r w:rsidR="006124C2">
        <w:t>when selecting USAs</w:t>
      </w:r>
      <w:r w:rsidR="00A769F3">
        <w:t xml:space="preserve"> may spill beyond the realm of federal prosecution and have </w:t>
      </w:r>
      <w:r w:rsidR="00CD7138">
        <w:t xml:space="preserve">deleterious </w:t>
      </w:r>
      <w:r w:rsidR="00A769F3">
        <w:t xml:space="preserve">implications for the </w:t>
      </w:r>
      <w:r w:rsidR="006124C2">
        <w:t xml:space="preserve">diversity of the </w:t>
      </w:r>
      <w:r w:rsidR="00A769F3">
        <w:t>federal government</w:t>
      </w:r>
      <w:r w:rsidR="006124C2">
        <w:t xml:space="preserve"> </w:t>
      </w:r>
      <w:r w:rsidR="00C12738">
        <w:t>more broadly</w:t>
      </w:r>
      <w:r w:rsidR="00A769F3">
        <w:t xml:space="preserve">.  </w:t>
      </w:r>
      <w:r>
        <w:t>A further exploration of this result shows that Democratic administrations are particularly likely to nominate nontraditional USAs to the bench</w:t>
      </w:r>
      <w:r w:rsidR="00981F4A">
        <w:t xml:space="preserve"> (though not the upper-echelons of the federal bureaucracy)</w:t>
      </w:r>
      <w:r>
        <w:t>. Moving beyond the general USA credential, we find some evidence to suggest that prosecutorial effort and ideological proximity to the president help structure these promotions</w:t>
      </w:r>
      <w:r w:rsidR="006C28DB">
        <w:t xml:space="preserve"> in some instances.</w:t>
      </w:r>
    </w:p>
    <w:p w14:paraId="5D339E3C" w14:textId="3FE8B1E5" w:rsidR="0026434E" w:rsidRDefault="0026434E" w:rsidP="00D4509F">
      <w:pPr>
        <w:spacing w:line="480" w:lineRule="auto"/>
        <w:ind w:firstLine="720"/>
      </w:pPr>
      <w:r>
        <w:t xml:space="preserve">We begin with a brief explanation of the work USAs perform, describe the types of post-service careers they commonly pursue, and explain our focus on a subset of those careers. We then review scholarship from the field of industrial relations to inform additional aspects of our theory and, in turn, motivate our hypotheses. After explaining our data and describing our research design, we articulate those hypotheses. Next, we present our results, discuss them, and conclude by offering potential implications and possibilities for future research. </w:t>
      </w:r>
    </w:p>
    <w:p w14:paraId="6D3907AF" w14:textId="31E1AB83" w:rsidR="0026434E" w:rsidRDefault="0026434E" w:rsidP="00FB4E03">
      <w:pPr>
        <w:spacing w:line="480" w:lineRule="auto"/>
        <w:rPr>
          <w:b/>
        </w:rPr>
      </w:pPr>
      <w:r>
        <w:rPr>
          <w:b/>
        </w:rPr>
        <w:t>United States Attorneys and their Careers</w:t>
      </w:r>
    </w:p>
    <w:p w14:paraId="68AA72BE" w14:textId="77777777" w:rsidR="0026434E" w:rsidRDefault="0026434E" w:rsidP="00FB4E03">
      <w:pPr>
        <w:spacing w:line="480" w:lineRule="auto"/>
      </w:pPr>
      <w:r>
        <w:tab/>
        <w:t xml:space="preserve">United States Attorneys are the federal government’s chief prosecutors, and they have existed nearly as long as the nation itself. The position dates to the Judiciary Act of 1789, which afforded each federal judicial district an officer to prosecute violations of civil and criminal law and defend the United States in civil actions. Today there are more than 90 USAs, each assigned to a federal judicial district. They are nominated by the president to a four-year term and require </w:t>
      </w:r>
      <w:r>
        <w:lastRenderedPageBreak/>
        <w:t>Senate confirmation. Because they are political appointees, USAs commonly leave office upon a change of administration. Some do so before their terms conclude (e.g., Scott 2007).</w:t>
      </w:r>
    </w:p>
    <w:p w14:paraId="4866B7D2" w14:textId="1C4F36C3" w:rsidR="003A3CA9" w:rsidRDefault="0026434E" w:rsidP="00FB4E03">
      <w:pPr>
        <w:spacing w:line="480" w:lineRule="auto"/>
      </w:pPr>
      <w:r>
        <w:t xml:space="preserve">USAs lead offices across the country that vary in size and are staffed by assistant USAs with civil service protection (Lochner 2002). Criminal cases represent the bulk of USA activity, and they wield substantial discretion over them (Perry 1998, 139; </w:t>
      </w:r>
      <w:proofErr w:type="spellStart"/>
      <w:r>
        <w:t>Whitford</w:t>
      </w:r>
      <w:proofErr w:type="spellEnd"/>
      <w:r>
        <w:t xml:space="preserve"> 2002; Eisenstein 1978). The USA position is a common point of departure for careers in both the public and private sectors (Eisenstein 1978; </w:t>
      </w:r>
      <w:proofErr w:type="spellStart"/>
      <w:r>
        <w:t>Eisinger</w:t>
      </w:r>
      <w:proofErr w:type="spellEnd"/>
      <w:r>
        <w:t xml:space="preserve"> 2017; </w:t>
      </w:r>
      <w:proofErr w:type="spellStart"/>
      <w:r>
        <w:t>Barkow</w:t>
      </w:r>
      <w:proofErr w:type="spellEnd"/>
      <w:r>
        <w:t xml:space="preserve"> 2009) and, while the range of future employment possibilities is theoretically endless, the most common paths include private legal practice, elected office, nomination to the federal judiciary, or appointment to another position in the executive branch. We focus on the career path that involves promotion within the U.S. government, because it permits a focus on the </w:t>
      </w:r>
      <w:r w:rsidR="006124C2">
        <w:t xml:space="preserve">factors that one </w:t>
      </w:r>
      <w:r>
        <w:t xml:space="preserve">particular actor—the president—finds particularly </w:t>
      </w:r>
      <w:r w:rsidR="006124C2">
        <w:t>determinative</w:t>
      </w:r>
      <w:r>
        <w:t>. This encompasses two basic types of positions—movement within the executive branch and federal judicial positions. Aside from private practice, these represent the two most common initial post-tenure moves by USAs in our data</w:t>
      </w:r>
      <w:r w:rsidR="003A3CA9">
        <w:t>. However, before turning to that data, we consider several empirical and theoretical points that help frame our study.</w:t>
      </w:r>
    </w:p>
    <w:p w14:paraId="2FC3008D" w14:textId="37274591" w:rsidR="003A3CA9" w:rsidRDefault="003A3CA9" w:rsidP="00FB4E03">
      <w:pPr>
        <w:spacing w:line="480" w:lineRule="auto"/>
        <w:rPr>
          <w:b/>
        </w:rPr>
      </w:pPr>
      <w:r>
        <w:rPr>
          <w:b/>
        </w:rPr>
        <w:t>Racial and Gender Diversity in the Federal Courts and Bureaucracy</w:t>
      </w:r>
    </w:p>
    <w:p w14:paraId="1AE081D6" w14:textId="343DE7C4" w:rsidR="0026434E" w:rsidRDefault="003A3CA9" w:rsidP="00FB4E03">
      <w:pPr>
        <w:spacing w:line="480" w:lineRule="auto"/>
      </w:pPr>
      <w:r>
        <w:tab/>
      </w:r>
      <w:r w:rsidR="0026434E">
        <w:t xml:space="preserve"> </w:t>
      </w:r>
      <w:r>
        <w:t xml:space="preserve">Since the administration of Jimmy Carter, numerous presidents—particularly Democratic ones—have made racial and gender diversity central components of their judicial selection strategies (Goldman 1997; Scherer 2005; Goldman, </w:t>
      </w:r>
      <w:proofErr w:type="spellStart"/>
      <w:r>
        <w:t>Schiavoni</w:t>
      </w:r>
      <w:proofErr w:type="spellEnd"/>
      <w:r>
        <w:t xml:space="preserve">, and </w:t>
      </w:r>
      <w:proofErr w:type="spellStart"/>
      <w:r>
        <w:t>Slotnick</w:t>
      </w:r>
      <w:proofErr w:type="spellEnd"/>
      <w:r>
        <w:t xml:space="preserve"> 2009). In every administration prior to Carter’s, well above 90% of district court appointees were white men (Wheeler 2009). That percentage dropped precipitously under Carter to just 68% and plummeted to 38% during Barack Obama’s presidency (</w:t>
      </w:r>
      <w:proofErr w:type="spellStart"/>
      <w:r>
        <w:t>Slotnick</w:t>
      </w:r>
      <w:proofErr w:type="spellEnd"/>
      <w:r>
        <w:t xml:space="preserve">, </w:t>
      </w:r>
      <w:proofErr w:type="spellStart"/>
      <w:r>
        <w:t>Schiavoni</w:t>
      </w:r>
      <w:proofErr w:type="spellEnd"/>
      <w:r>
        <w:t xml:space="preserve">, and Goldman </w:t>
      </w:r>
      <w:r>
        <w:lastRenderedPageBreak/>
        <w:t>2017).</w:t>
      </w:r>
      <w:r>
        <w:rPr>
          <w:rStyle w:val="FootnoteReference"/>
        </w:rPr>
        <w:footnoteReference w:id="3"/>
      </w:r>
      <w:r>
        <w:t xml:space="preserve"> These statistics signal a clear pattern—in recent decades, the federal judiciary has become far more diverse in terms of race and gender. </w:t>
      </w:r>
    </w:p>
    <w:p w14:paraId="64A8A139" w14:textId="4BE3C95C" w:rsidR="003A3CA9" w:rsidRDefault="003A3CA9" w:rsidP="00FB4E03">
      <w:pPr>
        <w:spacing w:line="480" w:lineRule="auto"/>
      </w:pPr>
      <w:r>
        <w:tab/>
        <w:t xml:space="preserve">Trends related to diversity within the executive bureaucracy have tracked those in the federal judiciary. Many of these appointees are lawyers by trade and, as noted, this is a common career option for USAs. Like judicial candidacies, these positions are dependent on the president’s support. Just as the judiciary’s diversification began in earnest with the Carter presidency, so too did that of its executive branch appointments—20% of Carter’s senior executive appointees were nontraditional (King and </w:t>
      </w:r>
      <w:proofErr w:type="spellStart"/>
      <w:r>
        <w:t>Riddlesperger</w:t>
      </w:r>
      <w:proofErr w:type="spellEnd"/>
      <w:r>
        <w:t xml:space="preserve"> 2015). Likewise, recent presidential cabinets have grown more diverse in terms of gender, with a number of notable strides coming in the Clinton, George W. Bush, and Obama administrations (Borelli 2010).</w:t>
      </w:r>
      <w:r w:rsidR="00E2600D">
        <w:t xml:space="preserve"> By 2013, </w:t>
      </w:r>
      <w:proofErr w:type="spellStart"/>
      <w:r w:rsidR="00E2600D">
        <w:t>Anestaki</w:t>
      </w:r>
      <w:proofErr w:type="spellEnd"/>
      <w:r w:rsidR="00E2600D">
        <w:t xml:space="preserve"> et al. (2019) report that more than 44% of political appointees were women, nearly 14% were African American, and 6.6% were Latinx.</w:t>
      </w:r>
    </w:p>
    <w:p w14:paraId="120D0C3A" w14:textId="40972AC1" w:rsidR="00CB60C9" w:rsidRPr="0026434E" w:rsidRDefault="00316D1E" w:rsidP="00CB60C9">
      <w:pPr>
        <w:spacing w:line="480" w:lineRule="auto"/>
      </w:pPr>
      <w:r>
        <w:tab/>
        <w:t xml:space="preserve">Increased diversity in these appointive positions has important potential implications. </w:t>
      </w:r>
      <w:r w:rsidR="00CB60C9">
        <w:t>Presidents are uniquely equipped to influence the diversity of federal judicial and bureaucratic institution</w:t>
      </w:r>
      <w:r w:rsidR="003769EB">
        <w:t>s</w:t>
      </w:r>
      <w:r w:rsidR="00CB60C9">
        <w:t xml:space="preserve">, and Democratic presidents in particular have prioritized such diversity in recent decades (e.g., </w:t>
      </w:r>
      <w:proofErr w:type="spellStart"/>
      <w:r w:rsidR="00CB60C9">
        <w:t>Anestaki</w:t>
      </w:r>
      <w:proofErr w:type="spellEnd"/>
      <w:r w:rsidR="00CB60C9">
        <w:t xml:space="preserve"> et al. 2019; Naff and Crum 2000; Scherer 2005; </w:t>
      </w:r>
      <w:r w:rsidR="006124C2">
        <w:t>Goldman 1997</w:t>
      </w:r>
      <w:r w:rsidR="00CB60C9">
        <w:t xml:space="preserve">). </w:t>
      </w:r>
    </w:p>
    <w:p w14:paraId="6E77281F" w14:textId="3CA3A9D5" w:rsidR="00316D1E" w:rsidRDefault="00316D1E" w:rsidP="00FB4E03">
      <w:pPr>
        <w:spacing w:line="480" w:lineRule="auto"/>
      </w:pPr>
      <w:r>
        <w:t xml:space="preserve">Theories of representative bureaucracy suggest the </w:t>
      </w:r>
      <w:r w:rsidR="00A769F3">
        <w:t xml:space="preserve">administrative state </w:t>
      </w:r>
      <w:r>
        <w:t>will be more accountable to the public if it reflects the demographic characteristics of those it serves (e.g., Krislov 2012; Krislov and Rosenbloom 1981; Selden 1997). Indeed, numerous studies have shown that better representation of traditionally underrepresented groups can promote the interests and improve the fortunes of those groups (e.g., Sowa and Selden 2003; Dolan 2002).</w:t>
      </w:r>
      <w:r w:rsidR="00557880">
        <w:t xml:space="preserve"> </w:t>
      </w:r>
      <w:r w:rsidR="00F51292">
        <w:t xml:space="preserve">This passive representation’s symbolic nature has “important effects on the attitudes and </w:t>
      </w:r>
      <w:r w:rsidR="00F51292">
        <w:lastRenderedPageBreak/>
        <w:t>behaviors of underrepresented groups toward the bureaucracy and the political system generally (Lim 2006, 194); i</w:t>
      </w:r>
      <w:r w:rsidR="00CC364D">
        <w:t>t is therefore</w:t>
      </w:r>
      <w:r w:rsidR="00557880">
        <w:t xml:space="preserve"> an “important predictor of inclusiveness” (Clark et al. 2013</w:t>
      </w:r>
      <w:r w:rsidR="00F50DF2">
        <w:t>,</w:t>
      </w:r>
      <w:r w:rsidR="00C94AD5">
        <w:t xml:space="preserve"> </w:t>
      </w:r>
      <w:r w:rsidR="00F50DF2">
        <w:t>78</w:t>
      </w:r>
      <w:r w:rsidR="00557880">
        <w:t>).</w:t>
      </w:r>
    </w:p>
    <w:p w14:paraId="402CEDE7" w14:textId="28FCC24F" w:rsidR="006124C2" w:rsidRDefault="00316D1E" w:rsidP="00FB4E03">
      <w:pPr>
        <w:spacing w:line="480" w:lineRule="auto"/>
      </w:pPr>
      <w:r>
        <w:tab/>
        <w:t xml:space="preserve">Scholars of the courts have said much the same. Theories of descriptive representation posit that institutions such as the courts increase their legitimacy with the public as their race and gender composition comes to mirror that broader society (e.g., Scherer and Curry 2010). </w:t>
      </w:r>
      <w:r w:rsidR="00557880">
        <w:t xml:space="preserve">As then-candidate Bill Clinton phrased it, the federal courts must “look like America” in order for the judiciary to be seen </w:t>
      </w:r>
      <w:r w:rsidR="006124C2">
        <w:t xml:space="preserve">by the public </w:t>
      </w:r>
      <w:r w:rsidR="00557880">
        <w:t>as broadly legitimate (</w:t>
      </w:r>
      <w:proofErr w:type="spellStart"/>
      <w:r w:rsidR="00557880">
        <w:t>Mannies</w:t>
      </w:r>
      <w:proofErr w:type="spellEnd"/>
      <w:r w:rsidR="00557880">
        <w:t xml:space="preserve"> 1992). Attorney General Griffin Bell summarized President Carter’s prioritization of diversity in judicial appointments similarly: “…[a] national judiciary should resemble its national demographic constituency. Therefore, large groups which have been denied extensive representation in government should now be given a greater degree of representation” (Bell, quoted in Neff 1981, 150).</w:t>
      </w:r>
      <w:r w:rsidR="00FF0F40">
        <w:t xml:space="preserve"> </w:t>
      </w:r>
      <w:r w:rsidR="00F51292">
        <w:t xml:space="preserve">All this begs a question: how can this diversity be facilitated? </w:t>
      </w:r>
      <w:r w:rsidR="00FF0F40">
        <w:t xml:space="preserve">One potential route by which underrepresented groups can move into important policymaking positions in the federal bureaucracy and on the federal bench is by gaining a widely recognized credential for competence, such as service as a USA. Indeed, it may be that presidents use the </w:t>
      </w:r>
      <w:r w:rsidR="00606E51">
        <w:t xml:space="preserve">position </w:t>
      </w:r>
      <w:r w:rsidR="00FF0F40">
        <w:t xml:space="preserve">of USA strategically, to help advance the careers of those they </w:t>
      </w:r>
      <w:r w:rsidR="00FE1EEA">
        <w:t xml:space="preserve">hope to </w:t>
      </w:r>
      <w:r w:rsidR="00DB7547">
        <w:t>install in</w:t>
      </w:r>
      <w:r w:rsidR="00FE1EEA">
        <w:t xml:space="preserve"> these positions</w:t>
      </w:r>
      <w:r w:rsidR="00FF0F40">
        <w:t xml:space="preserve">. </w:t>
      </w:r>
    </w:p>
    <w:p w14:paraId="707CAC36" w14:textId="1201765B" w:rsidR="00557880" w:rsidRDefault="00557880" w:rsidP="00FB4E03">
      <w:pPr>
        <w:spacing w:line="480" w:lineRule="auto"/>
      </w:pPr>
      <w:r>
        <w:tab/>
        <w:t xml:space="preserve"> </w:t>
      </w:r>
      <w:r w:rsidR="00CB60C9">
        <w:t xml:space="preserve">Service as a USA represents a highly attractive attribute for presidential nominees (e.g., Weiser 2009). For example, as Christopher Kang, a key adviser in the Obama administration on judicial appointments remarked about Ed Stanton, a USA stationed in Memphis, “he’s a U.S. Attorney, you couldn’t ask for anything better than that in terms of the typical judicial nominee” (qtd. in </w:t>
      </w:r>
      <w:proofErr w:type="spellStart"/>
      <w:r w:rsidR="00CB60C9">
        <w:t>Slotnick</w:t>
      </w:r>
      <w:proofErr w:type="spellEnd"/>
      <w:r w:rsidR="00CB60C9">
        <w:t xml:space="preserve">, </w:t>
      </w:r>
      <w:proofErr w:type="spellStart"/>
      <w:r w:rsidR="00CB60C9">
        <w:t>Schiavoni</w:t>
      </w:r>
      <w:proofErr w:type="spellEnd"/>
      <w:r w:rsidR="00CB60C9">
        <w:t>, and Goldman 2017, 384). With all this in mind, in light of their historically underrepresented status on the federal bench</w:t>
      </w:r>
      <w:r w:rsidR="00A10A80">
        <w:t xml:space="preserve"> and </w:t>
      </w:r>
      <w:r w:rsidR="00CB60C9">
        <w:t xml:space="preserve">presidential efforts in recent decades to rectify that underrepresentation, </w:t>
      </w:r>
      <w:r w:rsidR="0077702F">
        <w:t>not to mention the</w:t>
      </w:r>
      <w:r w:rsidR="00A10A80">
        <w:t xml:space="preserve"> scholarship on career progression </w:t>
      </w:r>
      <w:r w:rsidR="00A10A80">
        <w:lastRenderedPageBreak/>
        <w:t xml:space="preserve">to which we pivot in the next section, </w:t>
      </w:r>
      <w:r w:rsidR="00CB60C9">
        <w:t>past service as a USA may be a uniquely valuable qualification for nontraditional nominees to the federal courts and executive bureaucracy.</w:t>
      </w:r>
      <w:r w:rsidR="00981F4A">
        <w:t xml:space="preserve"> This leads to hypothesis 1:</w:t>
      </w:r>
      <w:r w:rsidR="00A339F7">
        <w:rPr>
          <w:rStyle w:val="FootnoteReference"/>
        </w:rPr>
        <w:footnoteReference w:id="4"/>
      </w:r>
    </w:p>
    <w:p w14:paraId="1CAD8A21" w14:textId="20A3EB18" w:rsidR="00981F4A" w:rsidRDefault="00981F4A" w:rsidP="00B965D6">
      <w:pPr>
        <w:spacing w:line="480" w:lineRule="auto"/>
        <w:ind w:left="720"/>
      </w:pPr>
      <w:r w:rsidRPr="00981F4A">
        <w:t>Hypothesis 1: All else equal, we expect that presidents will be more likely to nominate USAs from traditionally underrepresented groups for positions in the judiciary and the executive branch as compared to white men.</w:t>
      </w:r>
    </w:p>
    <w:p w14:paraId="24A12E01" w14:textId="77777777" w:rsidR="00CB60C9" w:rsidRDefault="00CB60C9" w:rsidP="00FB4E03">
      <w:pPr>
        <w:spacing w:line="480" w:lineRule="auto"/>
        <w:rPr>
          <w:b/>
        </w:rPr>
      </w:pPr>
      <w:r>
        <w:rPr>
          <w:b/>
        </w:rPr>
        <w:t>Career Progression, Qualifications, and Individual Characteristics</w:t>
      </w:r>
    </w:p>
    <w:p w14:paraId="5EF4DB68" w14:textId="551997A7" w:rsidR="00CB60C9" w:rsidRDefault="007F2057" w:rsidP="00FB4E03">
      <w:pPr>
        <w:spacing w:line="480" w:lineRule="auto"/>
      </w:pPr>
      <w:r>
        <w:rPr>
          <w:b/>
        </w:rPr>
        <w:tab/>
      </w:r>
      <w:r>
        <w:t xml:space="preserve">USAs are bureaucrats (e.g., Perry 1998; </w:t>
      </w:r>
      <w:proofErr w:type="spellStart"/>
      <w:r>
        <w:t>Whitford</w:t>
      </w:r>
      <w:proofErr w:type="spellEnd"/>
      <w:r>
        <w:t xml:space="preserve"> 2002) and bureaucrats, like employees generally, understand that their prospects for promotion are likely to be influenced by some combination of their </w:t>
      </w:r>
      <w:r w:rsidR="00E963DB">
        <w:t xml:space="preserve">formal </w:t>
      </w:r>
      <w:r>
        <w:t xml:space="preserve">qualifications and </w:t>
      </w:r>
      <w:r w:rsidR="00E963DB">
        <w:t xml:space="preserve">prior performance. That may be particularly true for USAs, whose connection to the president is recognized as being of a principal-agent variety (e.g., Miller and Curry 2019; </w:t>
      </w:r>
      <w:proofErr w:type="spellStart"/>
      <w:r w:rsidR="00E963DB">
        <w:t>Whitford</w:t>
      </w:r>
      <w:proofErr w:type="spellEnd"/>
      <w:r w:rsidR="00E963DB">
        <w:t xml:space="preserve"> 2002; Perry 1998). And the president is more than the federal prosecutor’s current principal</w:t>
      </w:r>
      <w:r w:rsidR="006124C2">
        <w:t>—</w:t>
      </w:r>
      <w:r w:rsidR="00E963DB">
        <w:t>when it comes to aspirations to judicial or higher executive service</w:t>
      </w:r>
      <w:r w:rsidR="006124C2">
        <w:t xml:space="preserve">, </w:t>
      </w:r>
      <w:r w:rsidR="00E963DB">
        <w:t xml:space="preserve">he is also indispensable in </w:t>
      </w:r>
      <w:r w:rsidR="006124C2">
        <w:t>determining whether that USA will be promoted.</w:t>
      </w:r>
    </w:p>
    <w:p w14:paraId="564FAEC7" w14:textId="410D59AA" w:rsidR="00E963DB" w:rsidRDefault="00E963DB" w:rsidP="00FB4E03">
      <w:pPr>
        <w:spacing w:line="480" w:lineRule="auto"/>
      </w:pPr>
      <w:r>
        <w:tab/>
        <w:t xml:space="preserve">At a general level, there is substantial evidence that the processes relevant to promotion differ between white men and their minority counterparts (see Smith 2005; Wilson et al. 1999). As an example, </w:t>
      </w:r>
      <w:proofErr w:type="spellStart"/>
      <w:r>
        <w:t>Baldi</w:t>
      </w:r>
      <w:proofErr w:type="spellEnd"/>
      <w:r>
        <w:t xml:space="preserve"> and </w:t>
      </w:r>
      <w:proofErr w:type="spellStart"/>
      <w:r>
        <w:t>McBrier’s</w:t>
      </w:r>
      <w:proofErr w:type="spellEnd"/>
      <w:r>
        <w:t xml:space="preserve"> (1997, 492) work with a sample of organizations concludes that employers utilize different criteria when assessing the “promotability” of white </w:t>
      </w:r>
      <w:r>
        <w:lastRenderedPageBreak/>
        <w:t xml:space="preserve">and nonwhite workers. The primary way in which those criteria differ, they conclude, is that </w:t>
      </w:r>
      <w:r w:rsidR="008D289E">
        <w:t>decision makers are more likely to rely upon formal qualifications and performance metrics when assessing nontraditional job candidates than they are when evaluating white men.</w:t>
      </w:r>
    </w:p>
    <w:p w14:paraId="574E658A" w14:textId="6EB11C93" w:rsidR="0083728B" w:rsidRDefault="008D289E" w:rsidP="00FB4E03">
      <w:pPr>
        <w:spacing w:line="480" w:lineRule="auto"/>
      </w:pPr>
      <w:r>
        <w:tab/>
        <w:t xml:space="preserve">Similar findings characterize examinations of the differences between employer assessments of women and men (McGuire and Reskin 1993; Olson and Becker 1983; Wolf and </w:t>
      </w:r>
      <w:proofErr w:type="spellStart"/>
      <w:r>
        <w:t>Fligstein</w:t>
      </w:r>
      <w:proofErr w:type="spellEnd"/>
      <w:r>
        <w:t xml:space="preserve"> 1979).</w:t>
      </w:r>
      <w:r w:rsidR="00967D5B">
        <w:t xml:space="preserve"> </w:t>
      </w:r>
      <w:r w:rsidR="00F50DF2">
        <w:t xml:space="preserve">According to </w:t>
      </w:r>
      <w:proofErr w:type="spellStart"/>
      <w:r w:rsidR="00F50DF2">
        <w:t>Eagly</w:t>
      </w:r>
      <w:proofErr w:type="spellEnd"/>
      <w:r w:rsidR="00F50DF2">
        <w:t xml:space="preserve"> and Carli (2003, 819), “For women to be considered as instrumentally competent as men, </w:t>
      </w:r>
      <w:r w:rsidR="00F80304">
        <w:t>perceivers</w:t>
      </w:r>
      <w:r w:rsidR="00F50DF2">
        <w:t xml:space="preserve"> must be given clear evidence of women’s greater ability or superior performance…” </w:t>
      </w:r>
      <w:r w:rsidR="00F80304">
        <w:t xml:space="preserve">This is largely consistent with Lazarus and </w:t>
      </w:r>
      <w:proofErr w:type="spellStart"/>
      <w:r w:rsidR="00F80304">
        <w:t>Steigerwalt’s</w:t>
      </w:r>
      <w:proofErr w:type="spellEnd"/>
      <w:r w:rsidR="00F80304">
        <w:t xml:space="preserve"> (2018) finding </w:t>
      </w:r>
      <w:r w:rsidR="00786DB4">
        <w:t>i</w:t>
      </w:r>
      <w:r w:rsidR="00F80304">
        <w:t>n the legislative context</w:t>
      </w:r>
      <w:r w:rsidR="00786DB4">
        <w:t xml:space="preserve"> that</w:t>
      </w:r>
      <w:r w:rsidR="00F80304">
        <w:t xml:space="preserve"> the phenomenon of “gendered vulnerability” leads women in Congress to introduce more legislation, secure more government spending for their constituents, and be more responsive to voters than their male counterparts. </w:t>
      </w:r>
      <w:r w:rsidR="0083728B">
        <w:t>As Gill and Jensen (2020, 122) put it in their examination of gender’s relevance to appointments on the European Court of Justice</w:t>
      </w:r>
      <w:r w:rsidR="00573E80">
        <w:t xml:space="preserve"> (ECJ)</w:t>
      </w:r>
      <w:r w:rsidR="0083728B">
        <w:t xml:space="preserve">, “female candidates are expected to demonstrate partisan neutrality or policymaking expertise, while male candidates are assumed to have these traits.” Though they find such gender-based norms operate uniquely across common and civil law traditions, Gill and Jensen’s conclude </w:t>
      </w:r>
      <w:r w:rsidR="00573E80">
        <w:t>these double standards likely contribute to the underrepresentation of women on the ECJ (Gill and Jensen 2020, 137).</w:t>
      </w:r>
    </w:p>
    <w:p w14:paraId="5C3829E2" w14:textId="759A5392" w:rsidR="00FB4E03" w:rsidRDefault="00C94AD5" w:rsidP="00944D21">
      <w:pPr>
        <w:spacing w:line="480" w:lineRule="auto"/>
        <w:ind w:firstLine="720"/>
      </w:pPr>
      <w:r>
        <w:t xml:space="preserve">Smith (2005, 1158) interprets this vein of research to show that, for women and minorities, “promotion decisions are less likely to be influenced by [informal] sponsorship ties and, instead, minorities’ and women’s formal credentials are placed under greater scrutiny compared to those of their white male counterparts.” </w:t>
      </w:r>
      <w:r w:rsidR="00967D5B">
        <w:t>As Wilson and his colleagues (1999) see it, nontraditional candidates for promotion tend to have fewer opportunities to demonstrate more “informal” characteristics such as loyalty</w:t>
      </w:r>
      <w:r w:rsidR="00AC0C1A">
        <w:t>,</w:t>
      </w:r>
      <w:r w:rsidR="00967D5B">
        <w:t xml:space="preserve"> judgment, and leadership potential than do </w:t>
      </w:r>
      <w:r w:rsidR="00967D5B">
        <w:lastRenderedPageBreak/>
        <w:t xml:space="preserve">white males. As a consequence, the mobility of nontraditional candidates is typically restricted to a more “formal and deterministic route” (Wilson 1997) in which more objective </w:t>
      </w:r>
      <w:r w:rsidR="00FB4E03">
        <w:t>signs of loyalty and performance are paramount. Smith (2005, 1162-1163) describes it this way:</w:t>
      </w:r>
    </w:p>
    <w:p w14:paraId="1C025D0F" w14:textId="2C56C091" w:rsidR="00BB58F4" w:rsidRDefault="00FB4E03" w:rsidP="00FB4E03">
      <w:pPr>
        <w:spacing w:line="480" w:lineRule="auto"/>
        <w:ind w:left="720" w:firstLine="60"/>
      </w:pPr>
      <w:r>
        <w:t xml:space="preserve">…[T]he formal performance and work commitment investments of women and minorities are placed under tighter scrutiny compared with those of their White male counterparts. This means that in the absence of information about workers’ loyalty and devotion to the job (information that is more difficult to gain from women and minorities), superiors place a comparatively high premium on “objective” factors for promotion, namely, performance and … credentials. </w:t>
      </w:r>
    </w:p>
    <w:p w14:paraId="5DD0EAEF" w14:textId="7571E08C" w:rsidR="00BB58F4" w:rsidRDefault="00BB58F4" w:rsidP="00FB4E03">
      <w:pPr>
        <w:spacing w:line="480" w:lineRule="auto"/>
      </w:pPr>
      <w:r>
        <w:tab/>
      </w:r>
      <w:proofErr w:type="spellStart"/>
      <w:r>
        <w:t>Haire</w:t>
      </w:r>
      <w:proofErr w:type="spellEnd"/>
      <w:r>
        <w:t xml:space="preserve"> and Moyer’s (2015) overview of judicial backgrounds </w:t>
      </w:r>
      <w:r w:rsidR="00FD5BB6">
        <w:t>on the U.S. Courts of Appeals</w:t>
      </w:r>
      <w:r w:rsidR="00754366">
        <w:t xml:space="preserve">, which </w:t>
      </w:r>
      <w:r w:rsidR="00FD5BB6">
        <w:t>emphasizes the frequency of prosecutorial and/or judicial experience among judges from historically underrepresented groups</w:t>
      </w:r>
      <w:r w:rsidR="00754366">
        <w:t>, is broadly consistent with these conclusions</w:t>
      </w:r>
      <w:r w:rsidR="00FD5BB6">
        <w:t xml:space="preserve">. </w:t>
      </w:r>
      <w:r w:rsidR="000C3F7D">
        <w:t xml:space="preserve">For instance, </w:t>
      </w:r>
      <w:r w:rsidR="00B12CD2">
        <w:t>they</w:t>
      </w:r>
      <w:r w:rsidR="00FD5BB6">
        <w:t xml:space="preserve"> </w:t>
      </w:r>
      <w:r w:rsidR="000C3F7D">
        <w:t xml:space="preserve">note </w:t>
      </w:r>
      <w:r w:rsidR="00FD5BB6">
        <w:t>prosecutorial experience is common among African American judges on the Courts of Appeals</w:t>
      </w:r>
      <w:r w:rsidR="000C3F7D">
        <w:t xml:space="preserve"> (</w:t>
      </w:r>
      <w:r w:rsidR="00B12CD2">
        <w:t xml:space="preserve">2015; </w:t>
      </w:r>
      <w:r w:rsidR="000C3F7D">
        <w:t>20-21)</w:t>
      </w:r>
      <w:r w:rsidR="00FD5BB6">
        <w:t xml:space="preserve">, that nearly all </w:t>
      </w:r>
      <w:r w:rsidR="00754366">
        <w:t xml:space="preserve">such </w:t>
      </w:r>
      <w:r w:rsidR="00FD5BB6">
        <w:t>Latinx judges possessed trial court experience</w:t>
      </w:r>
      <w:r w:rsidR="000C3F7D">
        <w:t xml:space="preserve"> (25)</w:t>
      </w:r>
      <w:r w:rsidR="00FD5BB6">
        <w:t xml:space="preserve">, and that women </w:t>
      </w:r>
      <w:r w:rsidR="000C3F7D">
        <w:t>nominated to those courts since the Carter administration have been</w:t>
      </w:r>
      <w:r w:rsidR="00FD5BB6">
        <w:t xml:space="preserve"> likely to possess prior judicial experience</w:t>
      </w:r>
      <w:r w:rsidR="000C3F7D">
        <w:t xml:space="preserve"> (40).  </w:t>
      </w:r>
    </w:p>
    <w:p w14:paraId="0A0F77AF" w14:textId="67C46C0B" w:rsidR="00FB4E03" w:rsidRDefault="006124C2" w:rsidP="00944D21">
      <w:pPr>
        <w:spacing w:line="480" w:lineRule="auto"/>
        <w:ind w:firstLine="720"/>
      </w:pPr>
      <w:r>
        <w:t xml:space="preserve">The extent to which such patterns characterize presidential nomination decisions </w:t>
      </w:r>
      <w:r w:rsidR="000C3F7D">
        <w:t xml:space="preserve">more generally </w:t>
      </w:r>
      <w:r>
        <w:t xml:space="preserve">remains </w:t>
      </w:r>
      <w:r w:rsidR="000C3F7D">
        <w:t>less conclusive</w:t>
      </w:r>
      <w:r>
        <w:t>. However, with this as</w:t>
      </w:r>
      <w:r w:rsidR="00FB4E03">
        <w:t xml:space="preserve"> background, it seems plausible to predict that race- and gender-based differences could exist in patterns of promotion among USAs. But how might we operationalize measures of performance and credentials in the context of federal prosecutors and their “formal qualifications” for nomination to subsequent judicial or bureaucratic positions?</w:t>
      </w:r>
      <w:r w:rsidR="00FF3393">
        <w:t xml:space="preserve"> As previously indicated, our investigation is two-pronged. First, we leverage the fact that all USAs share a common credential. Second, we examine specific aspects </w:t>
      </w:r>
      <w:r w:rsidR="00FF3393">
        <w:lastRenderedPageBreak/>
        <w:t xml:space="preserve">of background and performance on which there is individual variation. Extant literature on USAs suggests two such constructs—the individual’s ideological compatibility with the promotor and the USA’s performance in office as captured by objective case processing statistics (Miller and Curry 2018). Here, the pertinent indicator of ideological compatibility should compare the ideological proximity of a USA to the ideological position of the president who is formally responsible for their nomination to the bureaucracy or the judiciary (Miller and Curry 2019). Quantifying one’s formal performance or “effort” as a USA could be captured in several ways, but we focus on performance as measured by case filings </w:t>
      </w:r>
      <w:r w:rsidR="00576B4C">
        <w:t>because</w:t>
      </w:r>
      <w:r w:rsidR="00FF3393">
        <w:t xml:space="preserve"> it is less likely than alternative measures to be affected by the preferences of other actors in the criminal justice system such as judges or juries (Shermer and Johnson 2010, 402; Richman 2003). </w:t>
      </w:r>
    </w:p>
    <w:p w14:paraId="343A2358" w14:textId="733B368A" w:rsidR="00C467AA" w:rsidRDefault="00FF3393" w:rsidP="00FB4E03">
      <w:pPr>
        <w:spacing w:line="480" w:lineRule="auto"/>
      </w:pPr>
      <w:r>
        <w:tab/>
        <w:t xml:space="preserve">We also </w:t>
      </w:r>
      <w:r w:rsidR="0040651A">
        <w:t>investigat</w:t>
      </w:r>
      <w:r w:rsidR="00702156">
        <w:t>e</w:t>
      </w:r>
      <w:r w:rsidR="0040651A">
        <w:t xml:space="preserve"> </w:t>
      </w:r>
      <w:r>
        <w:t xml:space="preserve">two other possible sources of individual variation between USAs being considered for promotion: </w:t>
      </w:r>
      <w:r w:rsidR="00C467AA">
        <w:t>the prestige of an individual’s law school education</w:t>
      </w:r>
      <w:r>
        <w:t xml:space="preserve"> and </w:t>
      </w:r>
      <w:r w:rsidR="00C467AA">
        <w:t xml:space="preserve">the size of the federal prosecutor’s office managed by the individual. </w:t>
      </w:r>
      <w:r w:rsidR="0040651A">
        <w:t xml:space="preserve"> Office size is a key indicator of USA autonomy according to Eisenstein (1978), with larger USA offices typically seen as more prestigious. Indeed, it may be that effective management of larger offices is seen as </w:t>
      </w:r>
      <w:r w:rsidR="00D0146B">
        <w:t xml:space="preserve">a </w:t>
      </w:r>
      <w:r w:rsidR="0040651A">
        <w:t>predictor of future performance managing similarly complex organizations</w:t>
      </w:r>
      <w:r w:rsidR="00702156">
        <w:t xml:space="preserve"> or the handling of a complex docket</w:t>
      </w:r>
      <w:r w:rsidR="0040651A">
        <w:t xml:space="preserve">. </w:t>
      </w:r>
      <w:r w:rsidR="00702156">
        <w:t>It is also plausible that more well</w:t>
      </w:r>
      <w:r w:rsidR="0000642A">
        <w:t>-</w:t>
      </w:r>
      <w:r w:rsidR="00702156">
        <w:t>respected USA candidates are placed in larger offices, thus creating a sort of selection effect whereby those most likely to be promoted are first groomed with service in large offices. Attendance at an elite law school might also predict, as a formal credential, the likelihood of promotion</w:t>
      </w:r>
      <w:r w:rsidR="0000642A">
        <w:t xml:space="preserve">; prior studies have controlled for the possibility in related contexts (e.g., </w:t>
      </w:r>
      <w:proofErr w:type="spellStart"/>
      <w:r w:rsidR="0000642A">
        <w:t>Haire</w:t>
      </w:r>
      <w:proofErr w:type="spellEnd"/>
      <w:r w:rsidR="0000642A">
        <w:t xml:space="preserve"> 2001)</w:t>
      </w:r>
      <w:r w:rsidR="00702156">
        <w:t>. The top ten schools for placements on the federal bench include nine of the fifteen highest ranked law schools (the one outlier is Florida).</w:t>
      </w:r>
      <w:r w:rsidR="00702156">
        <w:rPr>
          <w:rStyle w:val="FootnoteReference"/>
        </w:rPr>
        <w:footnoteReference w:id="5"/>
      </w:r>
      <w:r w:rsidR="00702156">
        <w:t xml:space="preserve">  </w:t>
      </w:r>
      <w:r w:rsidR="007A7C36">
        <w:lastRenderedPageBreak/>
        <w:t>T</w:t>
      </w:r>
      <w:r w:rsidR="00702156">
        <w:t>hese four factors—ideological distance, case filings, office size, and law school attended—comprise our measures of formal qualifications</w:t>
      </w:r>
      <w:r w:rsidR="007A7C36">
        <w:t>. All else equal, we expect that presidents will be more likely to nominate USAs with more attractive formal individual qualifications.  Based on the above discussion, this leads to Hypotheses 2a – 2d:</w:t>
      </w:r>
    </w:p>
    <w:p w14:paraId="1385D01C" w14:textId="415242CF" w:rsidR="007A7C36" w:rsidRDefault="00702156" w:rsidP="007A7C36">
      <w:pPr>
        <w:spacing w:line="480" w:lineRule="auto"/>
        <w:ind w:left="720"/>
      </w:pPr>
      <w:r w:rsidRPr="00702156">
        <w:t>Hypothesis 2</w:t>
      </w:r>
      <w:r w:rsidR="007A7C36">
        <w:t>a</w:t>
      </w:r>
      <w:r w:rsidRPr="00702156">
        <w:t xml:space="preserve">: </w:t>
      </w:r>
      <w:r w:rsidR="007A7C36">
        <w:t>Presidents</w:t>
      </w:r>
      <w:r w:rsidRPr="00702156">
        <w:t xml:space="preserve"> will be </w:t>
      </w:r>
      <w:r w:rsidR="00672841">
        <w:t>more</w:t>
      </w:r>
      <w:r w:rsidR="007A7C36" w:rsidRPr="00702156">
        <w:t xml:space="preserve"> </w:t>
      </w:r>
      <w:r w:rsidRPr="00702156">
        <w:t xml:space="preserve">likely to nominate USAs </w:t>
      </w:r>
      <w:r w:rsidR="007A7C36">
        <w:t xml:space="preserve">who are highly compatible with them ideologically. </w:t>
      </w:r>
    </w:p>
    <w:p w14:paraId="78F8D6D6" w14:textId="417FFCA0" w:rsidR="007A7C36" w:rsidRDefault="007A7C36" w:rsidP="007A7C36">
      <w:pPr>
        <w:tabs>
          <w:tab w:val="left" w:pos="7467"/>
        </w:tabs>
        <w:spacing w:line="480" w:lineRule="auto"/>
        <w:ind w:left="720"/>
      </w:pPr>
      <w:r>
        <w:t xml:space="preserve">Hypothesis 2b: Presidents will be </w:t>
      </w:r>
      <w:r w:rsidR="00672841">
        <w:t>more</w:t>
      </w:r>
      <w:r>
        <w:t xml:space="preserve"> likely to nominate USAs wh</w:t>
      </w:r>
      <w:r w:rsidR="00672841">
        <w:t>ose effort, as measured by case filings, is high.</w:t>
      </w:r>
    </w:p>
    <w:p w14:paraId="16010E09" w14:textId="14485AEA" w:rsidR="00672841" w:rsidRDefault="00672841" w:rsidP="007A7C36">
      <w:pPr>
        <w:tabs>
          <w:tab w:val="left" w:pos="7467"/>
        </w:tabs>
        <w:spacing w:line="480" w:lineRule="auto"/>
        <w:ind w:left="720"/>
      </w:pPr>
      <w:r>
        <w:t>Hypothesis 2c: Presidents will be more likely to nominate USAs who oversee larger offices.</w:t>
      </w:r>
    </w:p>
    <w:p w14:paraId="36D48E89" w14:textId="425739A4" w:rsidR="00672841" w:rsidRDefault="00672841" w:rsidP="00C42E8A">
      <w:pPr>
        <w:tabs>
          <w:tab w:val="left" w:pos="7467"/>
        </w:tabs>
        <w:spacing w:line="480" w:lineRule="auto"/>
        <w:ind w:left="720"/>
      </w:pPr>
      <w:r>
        <w:t>Hypothesis 2d: Presidents will be more likely to nominate USAs who have attended elite law schools.</w:t>
      </w:r>
    </w:p>
    <w:p w14:paraId="21ED2922" w14:textId="06E6E329" w:rsidR="00C467AA" w:rsidRDefault="00C467AA" w:rsidP="00FB4E03">
      <w:pPr>
        <w:spacing w:line="480" w:lineRule="auto"/>
        <w:rPr>
          <w:b/>
        </w:rPr>
      </w:pPr>
      <w:r>
        <w:rPr>
          <w:b/>
        </w:rPr>
        <w:t>Data and Methods</w:t>
      </w:r>
    </w:p>
    <w:p w14:paraId="4581F3F5" w14:textId="31212E48" w:rsidR="00FF3393" w:rsidRDefault="00C467AA" w:rsidP="00FB4E03">
      <w:pPr>
        <w:spacing w:line="480" w:lineRule="auto"/>
      </w:pPr>
      <w:r>
        <w:tab/>
        <w:t xml:space="preserve">We set out to code the initial positions </w:t>
      </w:r>
      <w:r w:rsidR="00754366">
        <w:t xml:space="preserve">of </w:t>
      </w:r>
      <w:r>
        <w:t>USAs</w:t>
      </w:r>
      <w:r w:rsidR="00754366">
        <w:t xml:space="preserve"> </w:t>
      </w:r>
      <w:r>
        <w:t>after completing their terms as prosecutors.</w:t>
      </w:r>
      <w:r>
        <w:rPr>
          <w:rStyle w:val="FootnoteReference"/>
        </w:rPr>
        <w:footnoteReference w:id="6"/>
      </w:r>
      <w:r>
        <w:t xml:space="preserve"> We undertook searches to gather career data on the USAs who served during 1986-2015. That yielded information on 93% of all USAs who served during this period; to the best of our knowledge, this represents the most comprehensive collection of that data to date. We utilized a number of sources, including the Federal Judicial Center’s Biographical </w:t>
      </w:r>
      <w:r>
        <w:lastRenderedPageBreak/>
        <w:t>Directory, biographical and autobiographical works, news stories, and even obituaries</w:t>
      </w:r>
      <w:r w:rsidR="00BD1241">
        <w:t>, in compiling this information</w:t>
      </w:r>
      <w:r>
        <w:t>.</w:t>
      </w:r>
    </w:p>
    <w:p w14:paraId="77FB6DF6" w14:textId="65D62649" w:rsidR="00C467AA" w:rsidRDefault="00C467AA" w:rsidP="00FB4E03">
      <w:pPr>
        <w:spacing w:line="480" w:lineRule="auto"/>
      </w:pPr>
      <w:r>
        <w:tab/>
        <w:t xml:space="preserve">We identified individuals as a </w:t>
      </w:r>
      <w:r>
        <w:rPr>
          <w:b/>
        </w:rPr>
        <w:t xml:space="preserve">federal judge </w:t>
      </w:r>
      <w:r>
        <w:t>if they were nominated to serve as a district or court of appeals judge</w:t>
      </w:r>
      <w:r w:rsidR="00410E66">
        <w:t>. We coded those who were put forward for promotion within the executive branch (</w:t>
      </w:r>
      <w:r w:rsidR="00410E66">
        <w:rPr>
          <w:b/>
          <w:bCs/>
        </w:rPr>
        <w:t>federal bureaucracy</w:t>
      </w:r>
      <w:r w:rsidR="00410E66">
        <w:t>)</w:t>
      </w:r>
      <w:r>
        <w:t>.</w:t>
      </w:r>
      <w:r w:rsidR="003877EB">
        <w:rPr>
          <w:rStyle w:val="FootnoteReference"/>
        </w:rPr>
        <w:footnoteReference w:id="7"/>
      </w:r>
      <w:r w:rsidR="003877EB">
        <w:t xml:space="preserve"> Turning to our independent variables of interest, we created a variable called </w:t>
      </w:r>
      <w:r w:rsidR="003877EB">
        <w:rPr>
          <w:b/>
        </w:rPr>
        <w:t xml:space="preserve">white male </w:t>
      </w:r>
      <w:r w:rsidR="003877EB">
        <w:t xml:space="preserve">(1 if white and male; 0 otherwise). We captured </w:t>
      </w:r>
      <w:r w:rsidR="003877EB">
        <w:rPr>
          <w:b/>
        </w:rPr>
        <w:t xml:space="preserve">USA ideology </w:t>
      </w:r>
      <w:r w:rsidR="003877EB">
        <w:t>with the approach developed by Giles, Hettinger, and Peppers (2001) in conjunction with lower federal court judges. Those scores are scaled from -1 (very liberal) to +1 (very conservative). As with lower court judges, the norms of senatorial courtesy are strong when it comes to the appointment of USAs (Nelson and Ostrander 2016). Therefore, when both of a state’s senators belong to the president’s party when a USA was nominated, we average their NOMINATE ideology scores; when one senator is of the president’s party we use that senator’s score; and when no senators of the president’s party are in place, we use the president’s score for USA ideology. We measure the difference between the USA’s ideology and the president’s (</w:t>
      </w:r>
      <w:r w:rsidR="003877EB">
        <w:rPr>
          <w:b/>
        </w:rPr>
        <w:t>ideological distance</w:t>
      </w:r>
      <w:r w:rsidR="003877EB">
        <w:t>).</w:t>
      </w:r>
      <w:r w:rsidR="001B039B">
        <w:t xml:space="preserve"> </w:t>
      </w:r>
      <w:r w:rsidR="003877EB">
        <w:t>In general, we expect former USAs who are in closer ideological alignment with the president to be among those most likely tapped for these two appointive positions.</w:t>
      </w:r>
      <w:r w:rsidR="00834172">
        <w:t xml:space="preserve"> Since executive actors who prove to be non-congruent with the administration can be </w:t>
      </w:r>
      <w:r w:rsidR="00246286">
        <w:t xml:space="preserve">easily </w:t>
      </w:r>
      <w:r w:rsidR="00834172">
        <w:t xml:space="preserve">removed but judicial “mistakes” are guaranteed lifetime tenure, the importance of ideology may be especially important in the context of judicial nominations. </w:t>
      </w:r>
    </w:p>
    <w:p w14:paraId="4492AB8D" w14:textId="1A492D01" w:rsidR="003877EB" w:rsidRDefault="003877EB" w:rsidP="00FB4E03">
      <w:pPr>
        <w:spacing w:line="480" w:lineRule="auto"/>
      </w:pPr>
      <w:r>
        <w:tab/>
        <w:t xml:space="preserve">We </w:t>
      </w:r>
      <w:r w:rsidR="00904E85">
        <w:t>measure</w:t>
      </w:r>
      <w:r>
        <w:t xml:space="preserve"> USA performance </w:t>
      </w:r>
      <w:r w:rsidR="00904E85">
        <w:t>as the average total case filings per year for USAs (</w:t>
      </w:r>
      <w:r w:rsidR="00904E85" w:rsidRPr="00576B4C">
        <w:rPr>
          <w:b/>
        </w:rPr>
        <w:t>average filings</w:t>
      </w:r>
      <w:r w:rsidR="00904E85">
        <w:t>)</w:t>
      </w:r>
      <w:r w:rsidR="00A769F3">
        <w:t xml:space="preserve">. There is ample evidence these sorts of quantitative measures of performance are important to administrations wishing to monitor USA </w:t>
      </w:r>
      <w:r w:rsidR="009B1C41">
        <w:t xml:space="preserve">performance (e.g., Chesney 2007; </w:t>
      </w:r>
      <w:r w:rsidR="009B1C41">
        <w:lastRenderedPageBreak/>
        <w:t>Eisenstein 2007; Iglesias with Seay; Miller and Curry 2018; 2019).</w:t>
      </w:r>
      <w:r w:rsidR="00904E85">
        <w:t xml:space="preserve"> We do not have direct measures of office size for all years in our data, so we rely on a proxy measure. Our proxy is the average number of courtroom hours worked by attorneys in an office (</w:t>
      </w:r>
      <w:r w:rsidR="00904E85" w:rsidRPr="00576B4C">
        <w:rPr>
          <w:b/>
        </w:rPr>
        <w:t>average workhours</w:t>
      </w:r>
      <w:r w:rsidR="00904E85">
        <w:t>).</w:t>
      </w:r>
      <w:r w:rsidR="00904E85">
        <w:rPr>
          <w:rStyle w:val="FootnoteReference"/>
        </w:rPr>
        <w:footnoteReference w:id="8"/>
      </w:r>
      <w:r w:rsidR="00904E85">
        <w:t xml:space="preserve"> Lastly, we include a dummy variable equal to one if a USA attended one of the law schools regularly ranked in the top fifteen by U.S. News over the period of our study (</w:t>
      </w:r>
      <w:r w:rsidR="00904E85" w:rsidRPr="0032263A">
        <w:rPr>
          <w:b/>
        </w:rPr>
        <w:t>top 15</w:t>
      </w:r>
      <w:r w:rsidR="00904E85">
        <w:t>).</w:t>
      </w:r>
      <w:r w:rsidR="00904E85">
        <w:rPr>
          <w:rStyle w:val="FootnoteReference"/>
        </w:rPr>
        <w:footnoteReference w:id="9"/>
      </w:r>
      <w:r w:rsidR="00904E85">
        <w:t xml:space="preserve"> </w:t>
      </w:r>
    </w:p>
    <w:p w14:paraId="2974990B" w14:textId="77777777" w:rsidR="00DA22D7" w:rsidRDefault="00D43BFF" w:rsidP="00FB4E03">
      <w:pPr>
        <w:spacing w:line="480" w:lineRule="auto"/>
      </w:pPr>
      <w:r>
        <w:tab/>
        <w:t>In the regressions that follow, we control for a number of additional factors that can affect USA performance. These control variables include whether the USA serves in a district bordering Mexico (</w:t>
      </w:r>
      <w:r w:rsidRPr="003769EB">
        <w:rPr>
          <w:b/>
        </w:rPr>
        <w:t>border district</w:t>
      </w:r>
      <w:r>
        <w:t>; coded 1 if yes and 0 otherwise), whether the USA left office during a transition in the partisanship of the presidency (</w:t>
      </w:r>
      <w:r w:rsidRPr="003769EB">
        <w:rPr>
          <w:b/>
        </w:rPr>
        <w:t>transition year</w:t>
      </w:r>
      <w:r>
        <w:t>; coded 1 if yes and 0 otherwise), and the year in which the USA left office (</w:t>
      </w:r>
      <w:r w:rsidRPr="003769EB">
        <w:rPr>
          <w:b/>
        </w:rPr>
        <w:t>year leaving</w:t>
      </w:r>
      <w:r>
        <w:t xml:space="preserve">). </w:t>
      </w:r>
      <w:r w:rsidR="000917F5">
        <w:t>More details on these variable</w:t>
      </w:r>
      <w:r w:rsidR="00363B09">
        <w:t>s</w:t>
      </w:r>
      <w:r w:rsidR="000917F5">
        <w:t xml:space="preserve"> </w:t>
      </w:r>
      <w:r w:rsidR="006C28DB">
        <w:t xml:space="preserve">and the reasons for their inclusion </w:t>
      </w:r>
      <w:r w:rsidR="000917F5">
        <w:t xml:space="preserve">are available in the appendix. </w:t>
      </w:r>
    </w:p>
    <w:p w14:paraId="50056EB3" w14:textId="55C2B3B2" w:rsidR="00D43BFF" w:rsidRDefault="000917F5" w:rsidP="009C724A">
      <w:pPr>
        <w:spacing w:line="480" w:lineRule="auto"/>
        <w:ind w:firstLine="720"/>
      </w:pPr>
      <w:r>
        <w:t>Table 1 contains descriptive statistics for the included variables.</w:t>
      </w:r>
      <w:r w:rsidR="00F105B1">
        <w:t xml:space="preserve"> In addition, Table 2 contains demographic information on the USAs in our data. </w:t>
      </w:r>
      <w:r w:rsidR="00FD7E03">
        <w:t>The majority of USAs are white men, comprising 78% of all of those who served in our period of study</w:t>
      </w:r>
      <w:r w:rsidR="00F105B1">
        <w:t>.</w:t>
      </w:r>
      <w:r w:rsidR="00FD7E03">
        <w:t xml:space="preserve"> It is clear in Table 2 that, although underrepresented groups are 22% of the USAs, they are more likely to move into both high level federal bureaucratic positions (39% of the total) and be nominated to the federal courts (35% of the total) than are white men. Among the groups that comprise our underrepresented category, the majority are women. The totals for each subgroup add up to more than the total for the underrepresented category because of intersectionality between women and the racial and ethnic groupings. It is notable that each of the subgroups of the </w:t>
      </w:r>
      <w:r w:rsidR="00FD7E03">
        <w:lastRenderedPageBreak/>
        <w:t xml:space="preserve">underrepresented category </w:t>
      </w:r>
      <w:r w:rsidR="006C28DB">
        <w:t xml:space="preserve">is </w:t>
      </w:r>
      <w:r w:rsidR="00FD7E03">
        <w:t xml:space="preserve">more prevalent in both high-level federal bureaucratic positions and in the federal courts than their representation in the population of USAs suggests. </w:t>
      </w:r>
    </w:p>
    <w:p w14:paraId="7D422D81" w14:textId="55F4DB79" w:rsidR="000917F5" w:rsidRDefault="000917F5" w:rsidP="00363B09">
      <w:pPr>
        <w:spacing w:line="480" w:lineRule="auto"/>
        <w:jc w:val="center"/>
      </w:pPr>
      <w:r>
        <w:t>[Table 1 here]</w:t>
      </w:r>
    </w:p>
    <w:p w14:paraId="2D94A47F" w14:textId="3CF80A2B" w:rsidR="00F105B1" w:rsidRDefault="00F105B1" w:rsidP="00363B09">
      <w:pPr>
        <w:spacing w:line="480" w:lineRule="auto"/>
        <w:jc w:val="center"/>
      </w:pPr>
      <w:r>
        <w:t>[Table 2 here]</w:t>
      </w:r>
    </w:p>
    <w:p w14:paraId="404D871A" w14:textId="16048C3E" w:rsidR="00163004" w:rsidRDefault="00DA22D7" w:rsidP="00F105B1">
      <w:pPr>
        <w:spacing w:line="480" w:lineRule="auto"/>
      </w:pPr>
      <w:r>
        <w:tab/>
        <w:t>Tables 3-6</w:t>
      </w:r>
      <w:r w:rsidR="001F08C9">
        <w:t xml:space="preserve"> contain additional descriptive information about the USAs included in our data. Table 3 provides a demographic breakdown of USAs by their appointing president</w:t>
      </w:r>
      <w:r w:rsidR="003E724B">
        <w:t>; it</w:t>
      </w:r>
      <w:r w:rsidR="00162CE6">
        <w:t xml:space="preserve"> shows that the percentage of white males was highest during the Reagan presidency and lowest during Clinton’s. Clinton’s USAs also contain the largest female and African American cohorts, while W. Bush’s comprise the largest share of Asian and Latinx USAs during this period. </w:t>
      </w:r>
      <w:r w:rsidR="001F08C9">
        <w:rPr>
          <w:rStyle w:val="FootnoteReference"/>
        </w:rPr>
        <w:footnoteReference w:id="10"/>
      </w:r>
      <w:r w:rsidR="00162CE6">
        <w:t xml:space="preserve"> Tables 4 and 5 capture the percentage of USAs nominated to the bureaucracy and judiciary, respectively, under each of these five presidents. The figures in Table 4 include all USAs, whereas Table 5 is limited to nontraditional USAs and, in some cases, a comparison of these percentages is illuminating. Reagan was comparative likely to nominate USAs to both the bureaucracy (13%) and the judiciary (11%) and, while each of </w:t>
      </w:r>
      <w:r w:rsidR="00E039CD">
        <w:t>his</w:t>
      </w:r>
      <w:r w:rsidR="00162CE6">
        <w:t xml:space="preserve"> </w:t>
      </w:r>
      <w:r w:rsidR="00E039CD">
        <w:t>(</w:t>
      </w:r>
      <w:r w:rsidR="00162CE6">
        <w:t>three</w:t>
      </w:r>
      <w:r w:rsidR="00E039CD">
        <w:t>)</w:t>
      </w:r>
      <w:r w:rsidR="00162CE6">
        <w:t xml:space="preserve"> nontraditional USAs was put forward to serve in the bureaucracy, </w:t>
      </w:r>
      <w:r w:rsidR="00E039CD">
        <w:t>he tapped none</w:t>
      </w:r>
      <w:r w:rsidR="00163004">
        <w:t xml:space="preserve"> for the federal courts. To varying degrees, with the exception of George W. </w:t>
      </w:r>
      <w:r w:rsidR="00EF26CC">
        <w:t>Bush,</w:t>
      </w:r>
      <w:r w:rsidR="00163004">
        <w:t xml:space="preserve"> each of the remaining four presidents exhibit </w:t>
      </w:r>
      <w:r w:rsidR="00EF26CC">
        <w:t>percentages in</w:t>
      </w:r>
      <w:r w:rsidR="00163004">
        <w:t xml:space="preserve"> Table 5 tha</w:t>
      </w:r>
      <w:r w:rsidR="00EF26CC">
        <w:t>t are equal to or higher than those</w:t>
      </w:r>
      <w:r w:rsidR="00163004">
        <w:t xml:space="preserve"> in Table 4. In other words, presidents of both parties appear to nominate nontraditional candidates for these positions at higher rates than is true of </w:t>
      </w:r>
      <w:r w:rsidR="009238F3">
        <w:t xml:space="preserve">their baselines for </w:t>
      </w:r>
      <w:r w:rsidR="00163004">
        <w:t xml:space="preserve">USAs generally. </w:t>
      </w:r>
    </w:p>
    <w:p w14:paraId="5D6A9752" w14:textId="53F5BB73" w:rsidR="00DA22D7" w:rsidRDefault="00163004" w:rsidP="009C724A">
      <w:pPr>
        <w:spacing w:line="480" w:lineRule="auto"/>
        <w:ind w:firstLine="720"/>
      </w:pPr>
      <w:r>
        <w:lastRenderedPageBreak/>
        <w:t xml:space="preserve">Finally, Table 6 conveys the frequency with which the same president appoints an individual to both the USA position and nominates that person to one of our two positions of interest. In other words, Table 6 captures the percentage of USAs appointed by </w:t>
      </w:r>
      <w:r w:rsidR="00E039CD">
        <w:t>Obama</w:t>
      </w:r>
      <w:r>
        <w:t xml:space="preserve"> that </w:t>
      </w:r>
      <w:r w:rsidR="00E039CD">
        <w:t>Obama</w:t>
      </w:r>
      <w:r>
        <w:t xml:space="preserve"> </w:t>
      </w:r>
      <w:r w:rsidR="00621F39">
        <w:t>would go</w:t>
      </w:r>
      <w:r>
        <w:t xml:space="preserve"> on to nominate to serve in the federal bureaucracy or judiciary. One immediate takeaway from Table 6 is </w:t>
      </w:r>
      <w:r w:rsidR="008F19E1">
        <w:t xml:space="preserve">that the only president whose USA nominees to the bureaucracy and courts are more likely than not to have been initially appointed USA by another president is the only chief executive in our data to </w:t>
      </w:r>
      <w:r w:rsidR="00E039CD">
        <w:t>succeed</w:t>
      </w:r>
      <w:r w:rsidR="008F19E1">
        <w:t xml:space="preserve"> </w:t>
      </w:r>
      <w:r w:rsidR="00E039CD">
        <w:t>a</w:t>
      </w:r>
      <w:r w:rsidR="008F19E1">
        <w:t xml:space="preserve"> predecessor of the same party—George H.W. Bush, a single-term president who tapped a high proportion of </w:t>
      </w:r>
      <w:r w:rsidR="00E039CD">
        <w:t xml:space="preserve">co-partisan Ronald </w:t>
      </w:r>
      <w:r w:rsidR="008F19E1">
        <w:t xml:space="preserve">Reagan’s USAs for these promotions. The second </w:t>
      </w:r>
      <w:r w:rsidR="003E724B">
        <w:t xml:space="preserve">important takeaway is that each of the remaining four presidents is far more likely to nominate USAs appointed by others for bureaucratic positions than for judicial ones. </w:t>
      </w:r>
    </w:p>
    <w:p w14:paraId="360BF408" w14:textId="6466843B" w:rsidR="001F08C9" w:rsidRDefault="001F08C9" w:rsidP="009C724A">
      <w:pPr>
        <w:spacing w:line="480" w:lineRule="auto"/>
        <w:jc w:val="center"/>
      </w:pPr>
      <w:r>
        <w:t>[Tables 3-6 here]</w:t>
      </w:r>
    </w:p>
    <w:p w14:paraId="53E452EB" w14:textId="79200B9E" w:rsidR="00F105B1" w:rsidRDefault="00F105B1" w:rsidP="00F105B1">
      <w:pPr>
        <w:spacing w:line="480" w:lineRule="auto"/>
      </w:pPr>
      <w:r>
        <w:tab/>
        <w:t xml:space="preserve">Given our interest in two distinct kinds of promotions, both controlled by presidential discretion, we estimate a series of models for movement into the federal bureaucracy and for nomination to the federal bench. For each dependent variable, we first estimate a simple model without interactions and then proceed by interacting the variable </w:t>
      </w:r>
      <w:r w:rsidRPr="0032263A">
        <w:rPr>
          <w:b/>
        </w:rPr>
        <w:t xml:space="preserve">white male </w:t>
      </w:r>
      <w:r>
        <w:t xml:space="preserve">with each of the formal qualification factors we highlight above to better gauge whether these variables have differential effects for white male and underrepresented groups. In the analysis section that follows we present substantive effects generated from </w:t>
      </w:r>
      <w:r w:rsidR="00FD7E03">
        <w:t>these</w:t>
      </w:r>
      <w:r>
        <w:t xml:space="preserve"> regression models</w:t>
      </w:r>
      <w:r w:rsidR="00FD7E03">
        <w:t xml:space="preserve"> (</w:t>
      </w:r>
      <w:r>
        <w:t>which are included in the appendix</w:t>
      </w:r>
      <w:r w:rsidR="00FD7E03">
        <w:t>)</w:t>
      </w:r>
      <w:r>
        <w:t xml:space="preserve">. </w:t>
      </w:r>
    </w:p>
    <w:p w14:paraId="047BA503" w14:textId="0138CCF6" w:rsidR="00F105B1" w:rsidRPr="00363B09" w:rsidRDefault="00F105B1" w:rsidP="00F105B1">
      <w:pPr>
        <w:spacing w:line="480" w:lineRule="auto"/>
        <w:rPr>
          <w:b/>
        </w:rPr>
      </w:pPr>
      <w:r w:rsidRPr="00363B09">
        <w:rPr>
          <w:b/>
        </w:rPr>
        <w:t>Analysis</w:t>
      </w:r>
    </w:p>
    <w:p w14:paraId="1CF9BF05" w14:textId="4B05450B" w:rsidR="00F105B1" w:rsidRDefault="00FD7E03" w:rsidP="00F105B1">
      <w:pPr>
        <w:spacing w:line="480" w:lineRule="auto"/>
      </w:pPr>
      <w:r>
        <w:tab/>
        <w:t xml:space="preserve">Table </w:t>
      </w:r>
      <w:r w:rsidR="005902CC">
        <w:t>7</w:t>
      </w:r>
      <w:r>
        <w:t xml:space="preserve"> presents results from the simple regression models without interaction effects (Table A1 in the appendix). Substantive effects in the table are calculated by shifting </w:t>
      </w:r>
      <w:r>
        <w:lastRenderedPageBreak/>
        <w:t>dichotomous varia</w:t>
      </w:r>
      <w:r w:rsidR="00AD0889">
        <w:t>bles from zero</w:t>
      </w:r>
      <w:r>
        <w:t xml:space="preserve"> to </w:t>
      </w:r>
      <w:r w:rsidR="00AD0889">
        <w:t>one</w:t>
      </w:r>
      <w:r>
        <w:t xml:space="preserve"> and continuous variables from the 10</w:t>
      </w:r>
      <w:r w:rsidRPr="00363B09">
        <w:rPr>
          <w:vertAlign w:val="superscript"/>
        </w:rPr>
        <w:t>th</w:t>
      </w:r>
      <w:r>
        <w:t xml:space="preserve"> to 90</w:t>
      </w:r>
      <w:r w:rsidRPr="00363B09">
        <w:rPr>
          <w:vertAlign w:val="superscript"/>
        </w:rPr>
        <w:t>th</w:t>
      </w:r>
      <w:r>
        <w:t xml:space="preserve"> percentile of the data</w:t>
      </w:r>
      <w:r w:rsidR="00AD0889">
        <w:t>—95% confidence intervals are in brackets</w:t>
      </w:r>
      <w:r>
        <w:t>.</w:t>
      </w:r>
      <w:r w:rsidR="00AD0889">
        <w:t xml:space="preserve"> Only </w:t>
      </w:r>
      <w:r w:rsidR="00870F5A">
        <w:t xml:space="preserve">four </w:t>
      </w:r>
      <w:r w:rsidR="00AD0889">
        <w:t xml:space="preserve">variables have statistically significant effects, highlighted in gray in the table. USAs </w:t>
      </w:r>
      <w:r w:rsidR="00576B4C">
        <w:t xml:space="preserve">from underrepresented groups </w:t>
      </w:r>
      <w:r w:rsidR="00AD0889">
        <w:t xml:space="preserve">are </w:t>
      </w:r>
      <w:r w:rsidR="00870F5A">
        <w:t xml:space="preserve">9 </w:t>
      </w:r>
      <w:r w:rsidR="00AD0889">
        <w:t xml:space="preserve">percentage points </w:t>
      </w:r>
      <w:r w:rsidR="00576B4C">
        <w:t>more</w:t>
      </w:r>
      <w:r w:rsidR="00AD0889">
        <w:t xml:space="preserve"> likely to be </w:t>
      </w:r>
      <w:r w:rsidR="00410E66">
        <w:t xml:space="preserve">considered for </w:t>
      </w:r>
      <w:r w:rsidR="00AD0889">
        <w:t xml:space="preserve">a high-level position in the federal bureaucracy than are </w:t>
      </w:r>
      <w:r w:rsidR="00576B4C">
        <w:t xml:space="preserve">white male </w:t>
      </w:r>
      <w:r w:rsidR="00AD0889">
        <w:t>USAs. Similarly, USAs</w:t>
      </w:r>
      <w:r w:rsidR="00576B4C">
        <w:t xml:space="preserve"> from underrepresented groups </w:t>
      </w:r>
      <w:r w:rsidR="00AD0889">
        <w:t xml:space="preserve">are 12 percentage points </w:t>
      </w:r>
      <w:r w:rsidR="00576B4C">
        <w:t>more</w:t>
      </w:r>
      <w:r w:rsidR="00AD0889">
        <w:t xml:space="preserve"> likely to be nominated to the federal courts than are</w:t>
      </w:r>
      <w:r w:rsidR="00576B4C">
        <w:t xml:space="preserve"> white male</w:t>
      </w:r>
      <w:r w:rsidR="00AD0889">
        <w:t xml:space="preserve"> USAs. Ideological distance is also a potent predictor of nomination to the federal bench, as a voluminous literature in judicial politics would predict given the lifetime tenure of federal judges. Indeed, increasing ideological distance from the 10</w:t>
      </w:r>
      <w:r w:rsidR="00AD0889" w:rsidRPr="006545CE">
        <w:rPr>
          <w:vertAlign w:val="superscript"/>
        </w:rPr>
        <w:t>th</w:t>
      </w:r>
      <w:r w:rsidR="00AD0889">
        <w:t xml:space="preserve"> to the 90</w:t>
      </w:r>
      <w:r w:rsidR="00AD0889" w:rsidRPr="006545CE">
        <w:rPr>
          <w:vertAlign w:val="superscript"/>
        </w:rPr>
        <w:t>th</w:t>
      </w:r>
      <w:r w:rsidR="00AD0889">
        <w:t xml:space="preserve"> percentile reduces the likelihood of nomination by 1</w:t>
      </w:r>
      <w:r w:rsidR="00870F5A">
        <w:t>5</w:t>
      </w:r>
      <w:r w:rsidR="00AD0889">
        <w:t xml:space="preserve"> percentage points, slightly more than our indicator for demographic characteristics. However, ideological distance is not a factor for promotion of USAs into the federal bureaucracy. </w:t>
      </w:r>
      <w:r w:rsidR="00312E34">
        <w:t>T</w:t>
      </w:r>
      <w:r w:rsidR="00312E34" w:rsidRPr="00312E34">
        <w:t xml:space="preserve">hat anyone promoted to a politically appointed position in the bureaucracy serves at the pleasure of the president </w:t>
      </w:r>
      <w:r w:rsidR="00312E34">
        <w:t>likely explains the difference</w:t>
      </w:r>
      <w:r w:rsidR="00AD0889">
        <w:t xml:space="preserve">. </w:t>
      </w:r>
    </w:p>
    <w:p w14:paraId="5B5D579F" w14:textId="24369003" w:rsidR="000917F5" w:rsidRDefault="00AD0889" w:rsidP="006545CE">
      <w:pPr>
        <w:spacing w:line="480" w:lineRule="auto"/>
        <w:jc w:val="center"/>
      </w:pPr>
      <w:r>
        <w:t xml:space="preserve">[Table </w:t>
      </w:r>
      <w:r w:rsidR="005902CC">
        <w:t>7</w:t>
      </w:r>
      <w:r>
        <w:t xml:space="preserve"> here]</w:t>
      </w:r>
    </w:p>
    <w:p w14:paraId="62E7F015" w14:textId="0FDF1F3C" w:rsidR="00312E34" w:rsidRDefault="00312E34" w:rsidP="006545CE">
      <w:pPr>
        <w:spacing w:line="480" w:lineRule="auto"/>
        <w:ind w:firstLine="720"/>
      </w:pPr>
      <w:r w:rsidRPr="00312E34">
        <w:t>None of the other formal indicators are important predictors of the likelihood of elevation to either position</w:t>
      </w:r>
      <w:r>
        <w:t>, except that USAs who manage larger offices are slightly more likely to be promoted into the bureaucracy</w:t>
      </w:r>
      <w:r w:rsidRPr="00312E34">
        <w:t>.</w:t>
      </w:r>
      <w:r>
        <w:t xml:space="preserve"> Using the proxy for office size of courtroom hours worked, as the number of hours worked increases from the 10</w:t>
      </w:r>
      <w:r w:rsidRPr="006545CE">
        <w:rPr>
          <w:vertAlign w:val="superscript"/>
        </w:rPr>
        <w:t>th</w:t>
      </w:r>
      <w:r>
        <w:t xml:space="preserve"> to the 90</w:t>
      </w:r>
      <w:r w:rsidRPr="006545CE">
        <w:rPr>
          <w:vertAlign w:val="superscript"/>
        </w:rPr>
        <w:t>th</w:t>
      </w:r>
      <w:r>
        <w:t xml:space="preserve"> percentile the likelihood of promotion increases by two percentage points. This is a relatively small effect compared to those for demographic characteristics and ideological distance. Nevertheless, it makes some intuitive sense that presidents would seek to move USAs with a demonstrated capability in managing large numbers of people into positions requiring similar skills in the </w:t>
      </w:r>
      <w:r>
        <w:lastRenderedPageBreak/>
        <w:t xml:space="preserve">federal bureaucracy. </w:t>
      </w:r>
      <w:r w:rsidRPr="00312E34">
        <w:t xml:space="preserve"> </w:t>
      </w:r>
      <w:r>
        <w:t>The insignificance of effort measured by case filings</w:t>
      </w:r>
      <w:r w:rsidR="00870F5A">
        <w:rPr>
          <w:rStyle w:val="FootnoteReference"/>
        </w:rPr>
        <w:footnoteReference w:id="11"/>
      </w:r>
      <w:r>
        <w:t xml:space="preserve"> and </w:t>
      </w:r>
      <w:r w:rsidR="006A403B">
        <w:t xml:space="preserve">educational pedigree captured by </w:t>
      </w:r>
      <w:r>
        <w:t>law school prestige suggest</w:t>
      </w:r>
      <w:r w:rsidR="00C316B7">
        <w:t>s</w:t>
      </w:r>
      <w:r>
        <w:t xml:space="preserve"> that having the credential of USA serves a sort of leveling </w:t>
      </w:r>
      <w:r w:rsidR="00C316B7">
        <w:t xml:space="preserve">or equalizing </w:t>
      </w:r>
      <w:r>
        <w:t xml:space="preserve">effect for movement into coveted positions in the federal government. </w:t>
      </w:r>
      <w:r w:rsidR="00F51292">
        <w:t xml:space="preserve"> </w:t>
      </w:r>
      <w:r w:rsidR="006A403B">
        <w:t xml:space="preserve">In other words, among those with the USA qualification, </w:t>
      </w:r>
      <w:r w:rsidR="006C28DB">
        <w:t xml:space="preserve">most </w:t>
      </w:r>
      <w:r w:rsidR="006A403B">
        <w:t xml:space="preserve">individual-level distinctions </w:t>
      </w:r>
      <w:r w:rsidR="00C94AD5">
        <w:t xml:space="preserve">that might be expected to exert independent influence </w:t>
      </w:r>
      <w:r w:rsidR="006A403B">
        <w:t xml:space="preserve">are unimportant to promotion. </w:t>
      </w:r>
      <w:r w:rsidR="0083121D">
        <w:t xml:space="preserve">Lastly, it is not the case that the partisanship of the president is a significant predictor of the likelihood of a USA being elevated to either position, </w:t>
      </w:r>
      <w:r w:rsidR="00947DAE">
        <w:t>an issue to which we return later.</w:t>
      </w:r>
    </w:p>
    <w:p w14:paraId="1752DFF4" w14:textId="5FD88FF3" w:rsidR="00312E34" w:rsidRDefault="00B57D14" w:rsidP="00455E07">
      <w:pPr>
        <w:spacing w:line="480" w:lineRule="auto"/>
        <w:ind w:firstLine="720"/>
      </w:pPr>
      <w:r>
        <w:t>Given the continuous nature of most of the formal qualification factors (ideological distance, filings, and office size) we present several graphs of the interaction effect</w:t>
      </w:r>
      <w:r w:rsidR="006A403B">
        <w:t>s</w:t>
      </w:r>
      <w:r>
        <w:t>. R</w:t>
      </w:r>
      <w:r w:rsidR="006C4601">
        <w:t>esults</w:t>
      </w:r>
      <w:r>
        <w:t xml:space="preserve"> </w:t>
      </w:r>
      <w:r w:rsidR="006C4601">
        <w:t xml:space="preserve">for the interaction models </w:t>
      </w:r>
      <w:r>
        <w:t xml:space="preserve">that generated these effects are available in </w:t>
      </w:r>
      <w:r w:rsidR="006C4601">
        <w:t>Tables A</w:t>
      </w:r>
      <w:r w:rsidR="002B6F07">
        <w:t>2</w:t>
      </w:r>
      <w:r w:rsidR="006C4601">
        <w:t xml:space="preserve"> and A</w:t>
      </w:r>
      <w:r w:rsidR="002B6F07">
        <w:t>3</w:t>
      </w:r>
      <w:r>
        <w:t xml:space="preserve"> in the appendix</w:t>
      </w:r>
      <w:r w:rsidR="006C4601">
        <w:t xml:space="preserve">. Here our approach is straightforward: we interact white male with each of the formal qualification factors to determine whether the importance of each factor varies depending on the demographic status of the USA. </w:t>
      </w:r>
      <w:r w:rsidR="002555A4">
        <w:t xml:space="preserve">With </w:t>
      </w:r>
      <w:r w:rsidR="006C28DB">
        <w:t xml:space="preserve">the </w:t>
      </w:r>
      <w:r w:rsidR="002555A4">
        <w:t>important exception</w:t>
      </w:r>
      <w:r w:rsidR="00603A34">
        <w:t>s</w:t>
      </w:r>
      <w:r w:rsidR="006C28DB">
        <w:t xml:space="preserve"> referenced below</w:t>
      </w:r>
      <w:r w:rsidR="002555A4">
        <w:t>, t</w:t>
      </w:r>
      <w:r>
        <w:t xml:space="preserve">he general takeaway from this exercise is that there is little evidence these formal qualification factors are treated differently based on the demographic characteristics of the USA. Figure 1 presents results for the white male and ideological distance interaction for both the bureaucracy and the judiciary. </w:t>
      </w:r>
      <w:r w:rsidR="00022086">
        <w:t xml:space="preserve">Focusing on the bureaucracy, underrepresented groups are more likely to be promoted at low levels of ideological difference than are white men. However, at approximately the mid-point for ideological distance (0.4) the difference between underrepresented USAs and white male USAs is </w:t>
      </w:r>
      <w:r w:rsidR="002555A4">
        <w:t>difficult to</w:t>
      </w:r>
      <w:r w:rsidR="00022086">
        <w:t xml:space="preserve"> distinguish</w:t>
      </w:r>
      <w:r w:rsidR="002555A4">
        <w:t xml:space="preserve"> statistically</w:t>
      </w:r>
      <w:r w:rsidR="00022086">
        <w:t xml:space="preserve">. It is notable that white male USAs seems to </w:t>
      </w:r>
      <w:r w:rsidR="00022086">
        <w:lastRenderedPageBreak/>
        <w:t xml:space="preserve">become </w:t>
      </w:r>
      <w:r w:rsidR="00947DAE">
        <w:t xml:space="preserve">slightly </w:t>
      </w:r>
      <w:r w:rsidR="00022086">
        <w:t xml:space="preserve">more likely to be promoted into a bureaucratic position as they become more ideologically distant from the president, while the opposite is true for underrepresented groups. For nomination to the federal judiciary, </w:t>
      </w:r>
      <w:r w:rsidR="002555A4">
        <w:t xml:space="preserve">the right panel of </w:t>
      </w:r>
      <w:r w:rsidR="00022086">
        <w:t>Figure 1 gives a good sense of the importance of ideological distance as both underrepresented USAs and white male USAs see their chances for such a nomination decline precipitously as distance increases. Again, on</w:t>
      </w:r>
      <w:r w:rsidR="00947DAE">
        <w:t>c</w:t>
      </w:r>
      <w:r w:rsidR="00022086">
        <w:t xml:space="preserve">e ideological distance reaches the mid-point in the data (0.4) the two groups have statistically indistinguishable chances for nomination. </w:t>
      </w:r>
    </w:p>
    <w:p w14:paraId="00569406" w14:textId="4F7F3D32" w:rsidR="00312E34" w:rsidRDefault="00B57D14" w:rsidP="00455E07">
      <w:pPr>
        <w:spacing w:line="480" w:lineRule="auto"/>
        <w:jc w:val="center"/>
      </w:pPr>
      <w:r>
        <w:t>[Figure 1 here]</w:t>
      </w:r>
    </w:p>
    <w:p w14:paraId="784FF9A6" w14:textId="62B05713" w:rsidR="00B57D14" w:rsidRDefault="00947DAE" w:rsidP="00B57D14">
      <w:pPr>
        <w:spacing w:line="480" w:lineRule="auto"/>
      </w:pPr>
      <w:r>
        <w:tab/>
        <w:t>Next</w:t>
      </w:r>
      <w:r w:rsidR="002555A4">
        <w:t>,</w:t>
      </w:r>
      <w:r>
        <w:t xml:space="preserve"> we turn to the effect of USA effort as measured by case filings in Figure 2. Here there is no evidence for differential treatment of effort by demographic characteristics</w:t>
      </w:r>
      <w:r w:rsidR="002555A4">
        <w:t xml:space="preserve"> for promotion to the federal bureaucracy</w:t>
      </w:r>
      <w:r>
        <w:t xml:space="preserve">.  </w:t>
      </w:r>
      <w:r w:rsidR="002555A4">
        <w:t>T</w:t>
      </w:r>
      <w:r>
        <w:t>he left panel of Figure 2</w:t>
      </w:r>
      <w:r w:rsidR="002555A4">
        <w:t xml:space="preserve"> shows</w:t>
      </w:r>
      <w:r>
        <w:t xml:space="preserve"> that increasing effort has </w:t>
      </w:r>
      <w:r w:rsidR="002555A4">
        <w:t>no</w:t>
      </w:r>
      <w:r>
        <w:t xml:space="preserve"> influence on the likelihood of promotion </w:t>
      </w:r>
      <w:r w:rsidR="002555A4">
        <w:t>and</w:t>
      </w:r>
      <w:r>
        <w:t xml:space="preserve"> there is no </w:t>
      </w:r>
      <w:r w:rsidR="00D40229">
        <w:t>discernable difference</w:t>
      </w:r>
      <w:r>
        <w:t xml:space="preserve"> in how increased effort affects underrepresented groups and white men. In the right panel of Figure 2 we focus on movement to the federal bench. Here there is strong evidence for differential treatment; increasing effort seems </w:t>
      </w:r>
      <w:r w:rsidR="00246286">
        <w:t xml:space="preserve">to </w:t>
      </w:r>
      <w:r w:rsidR="002555A4">
        <w:t>greatly</w:t>
      </w:r>
      <w:r>
        <w:t xml:space="preserve"> increase the </w:t>
      </w:r>
      <w:r w:rsidR="00387097">
        <w:t xml:space="preserve">chances </w:t>
      </w:r>
      <w:r>
        <w:t>for underrepresented USAs</w:t>
      </w:r>
      <w:r w:rsidR="002555A4">
        <w:t>.</w:t>
      </w:r>
      <w:r>
        <w:t xml:space="preserve"> </w:t>
      </w:r>
      <w:r w:rsidR="002555A4">
        <w:t>At the median level of effort, approximately 1,200 filings, underrepresented USAs are about twice as likely as white male USAs to be nominated</w:t>
      </w:r>
      <w:r>
        <w:t>.</w:t>
      </w:r>
      <w:r w:rsidR="002555A4">
        <w:t xml:space="preserve">  </w:t>
      </w:r>
      <w:r>
        <w:t xml:space="preserve"> </w:t>
      </w:r>
    </w:p>
    <w:p w14:paraId="3586A2F4" w14:textId="3EBDAE78" w:rsidR="00947DAE" w:rsidRDefault="00947DAE" w:rsidP="00455E07">
      <w:pPr>
        <w:spacing w:line="480" w:lineRule="auto"/>
        <w:jc w:val="center"/>
      </w:pPr>
      <w:r>
        <w:t>[Figure 2 here]</w:t>
      </w:r>
    </w:p>
    <w:p w14:paraId="1971D323" w14:textId="5C3F94D6" w:rsidR="00947DAE" w:rsidRDefault="00947DAE" w:rsidP="00947DAE">
      <w:pPr>
        <w:spacing w:line="480" w:lineRule="auto"/>
      </w:pPr>
      <w:r>
        <w:tab/>
        <w:t xml:space="preserve">In Figure 3 we present results for interactions with office size. </w:t>
      </w:r>
      <w:r w:rsidR="002B4E55">
        <w:t>W</w:t>
      </w:r>
      <w:r>
        <w:t xml:space="preserve">e find little evidence in support of differential treatment by demographic group. In the left panel focusing on the federal bureaucracy, we see that those in underrepresented groups are always more likely to be promoted than white males at every level of office size. For both groups, managing a larger office is a positive factor in moving into the executive bureaucracy. In the right panel of Figure </w:t>
      </w:r>
      <w:r>
        <w:lastRenderedPageBreak/>
        <w:t xml:space="preserve">3 we find similar results for nomination to the federal bench. </w:t>
      </w:r>
      <w:r w:rsidR="00534DE2">
        <w:t xml:space="preserve">Again, those USAs from underrepresented groups are more likely to be nominated at every level of office size and the </w:t>
      </w:r>
      <w:r w:rsidR="00D40229">
        <w:t xml:space="preserve">depressive </w:t>
      </w:r>
      <w:r w:rsidR="00534DE2">
        <w:t>effect of</w:t>
      </w:r>
      <w:r w:rsidR="00D40229">
        <w:t xml:space="preserve"> nomination on</w:t>
      </w:r>
      <w:r w:rsidR="00534DE2">
        <w:t xml:space="preserve"> running a large USA office is the same for white men and those from underrepresented groups. Lastly, we find no differential effect for at</w:t>
      </w:r>
      <w:r w:rsidR="00573537">
        <w:t xml:space="preserve">tendance at an elite law school </w:t>
      </w:r>
      <w:r w:rsidR="00EF31E6">
        <w:t xml:space="preserve">on </w:t>
      </w:r>
      <w:r w:rsidR="00534DE2">
        <w:t>the likelihood of promotion to the bureaucracy</w:t>
      </w:r>
      <w:r w:rsidR="00573537">
        <w:t>.</w:t>
      </w:r>
      <w:r w:rsidR="00534DE2">
        <w:t xml:space="preserve"> </w:t>
      </w:r>
      <w:r w:rsidR="00573537">
        <w:t xml:space="preserve"> For nomination to the bench, we find that attendance at an elite law school </w:t>
      </w:r>
      <w:r w:rsidR="00CF2898">
        <w:t xml:space="preserve">has no effect on the nomination chances of white males, nor does it substantially boost the likelihood that underrepresented USAs will be nominated as compared to white males. Indeed, as displayed in Table </w:t>
      </w:r>
      <w:r w:rsidR="005902CC">
        <w:t>8</w:t>
      </w:r>
      <w:r w:rsidR="00CF2898">
        <w:t>, each of these groups look similar. Instead, it appears that service as a USA is a potent booster of the chances of nomination for underrepresented USAs who do not attend a top 15-law school.</w:t>
      </w:r>
      <w:r w:rsidR="007A74EA">
        <w:rPr>
          <w:rStyle w:val="FootnoteReference"/>
        </w:rPr>
        <w:footnoteReference w:id="12"/>
      </w:r>
      <w:r w:rsidR="00CF2898">
        <w:t xml:space="preserve"> </w:t>
      </w:r>
      <w:r w:rsidR="00036AD7">
        <w:t>At the very least, it is consistent with the notion that the USA credential may obviate the influence of a formal, individual-level characteristic for nontraditional candidates—precisely the group whose occupational advancement should be most susceptible to formal markers such as educational pedigree (e.g., Smith 2005)</w:t>
      </w:r>
    </w:p>
    <w:p w14:paraId="3847BF93" w14:textId="62620DF1" w:rsidR="00534DE2" w:rsidRDefault="00534DE2" w:rsidP="00455E07">
      <w:pPr>
        <w:spacing w:line="480" w:lineRule="auto"/>
        <w:jc w:val="center"/>
      </w:pPr>
      <w:r>
        <w:t>[Figure 3 here]</w:t>
      </w:r>
    </w:p>
    <w:p w14:paraId="66BDB3AF" w14:textId="0E3DB61A" w:rsidR="00CF2898" w:rsidRDefault="00CF2898" w:rsidP="00455E07">
      <w:pPr>
        <w:spacing w:line="480" w:lineRule="auto"/>
        <w:jc w:val="center"/>
      </w:pPr>
      <w:r>
        <w:t xml:space="preserve">[Table </w:t>
      </w:r>
      <w:r w:rsidR="005902CC">
        <w:t xml:space="preserve">8 </w:t>
      </w:r>
      <w:r>
        <w:t>here]</w:t>
      </w:r>
    </w:p>
    <w:p w14:paraId="604BF493" w14:textId="707FCD8C" w:rsidR="00A15E3A" w:rsidRDefault="00534DE2" w:rsidP="00534DE2">
      <w:pPr>
        <w:spacing w:line="480" w:lineRule="auto"/>
      </w:pPr>
      <w:r>
        <w:tab/>
        <w:t xml:space="preserve">There is clear evidence in the literature on both promotion within the federal bureaucracy (e.g. </w:t>
      </w:r>
      <w:proofErr w:type="spellStart"/>
      <w:r>
        <w:t>Anestaki</w:t>
      </w:r>
      <w:proofErr w:type="spellEnd"/>
      <w:r>
        <w:t xml:space="preserve"> 2019) and on nominations to federal courts (</w:t>
      </w:r>
      <w:r w:rsidR="00B41811">
        <w:t xml:space="preserve">e.g., Spill Solberg and Bratton 2005; </w:t>
      </w:r>
      <w:r w:rsidR="00756336">
        <w:t>Wheeler 2009; Goldman 1997</w:t>
      </w:r>
      <w:r w:rsidR="00D40229">
        <w:t>) that</w:t>
      </w:r>
      <w:r>
        <w:t xml:space="preserve"> Democratic presidents are more focused on efforts to diversify. Does this mean that they are more likely to seek out USAs from underrepresented groups to help in this effort? We explored this possibility by interacting our </w:t>
      </w:r>
      <w:r>
        <w:lastRenderedPageBreak/>
        <w:t xml:space="preserve">white male variable with whether or not the appointing/nominating president is a Democrat (Clinton and Obama in our data). </w:t>
      </w:r>
      <w:r w:rsidR="008C6AD5">
        <w:t xml:space="preserve">Results of this exercise are displayed in Table </w:t>
      </w:r>
      <w:r w:rsidR="005902CC">
        <w:t>9</w:t>
      </w:r>
      <w:r w:rsidR="008C6AD5">
        <w:t xml:space="preserve">. </w:t>
      </w:r>
      <w:r>
        <w:t>With respect to promotion into the upper-ranks of the federal bureaucracy</w:t>
      </w:r>
      <w:r w:rsidR="0091476A">
        <w:t>,</w:t>
      </w:r>
      <w:r>
        <w:t xml:space="preserve"> </w:t>
      </w:r>
      <w:r w:rsidR="008C6AD5">
        <w:t>the evidence suggests that underrepresented USAs are more likely to be promoted in both Democratic and Republican administrations</w:t>
      </w:r>
      <w:r w:rsidR="00EF31E6">
        <w:t xml:space="preserve"> as compared to white men</w:t>
      </w:r>
      <w:r w:rsidR="008C6AD5">
        <w:t xml:space="preserve">. The difference in the rate at which white male and underrepresented USAs are nominated is not significant </w:t>
      </w:r>
      <w:r w:rsidR="00A15E3A">
        <w:t xml:space="preserve">for either Democratic or Republican presidents, but the difference in Republican administrations approaches traditional levels of significance (p=0.12) and is notably larger than is the difference in Democratic administrations. There is clear evidence that Democratic presidents are much more likely to nominate underrepresented USAs to the bench than they are their white male colleagues, as the 22-percentage point difference is statistically significant. Indeed, underrepresented USAs in Democratic administrations are about eight times more likely to be nominated to the bench than are white male USAs. </w:t>
      </w:r>
      <w:r w:rsidR="0002520C">
        <w:t>Republican presidents nominate underrepresented USAs and white male USAs to the judiciary at approximately the same rate</w:t>
      </w:r>
      <w:r w:rsidR="00A15E3A">
        <w:t xml:space="preserve">. </w:t>
      </w:r>
    </w:p>
    <w:p w14:paraId="4C54DDA5" w14:textId="71FD6659" w:rsidR="00534DE2" w:rsidRDefault="00A15E3A" w:rsidP="00AE6705">
      <w:pPr>
        <w:spacing w:line="480" w:lineRule="auto"/>
        <w:jc w:val="center"/>
      </w:pPr>
      <w:r>
        <w:t xml:space="preserve">[Table </w:t>
      </w:r>
      <w:r w:rsidR="005902CC">
        <w:t>9</w:t>
      </w:r>
      <w:r>
        <w:t xml:space="preserve"> here]</w:t>
      </w:r>
    </w:p>
    <w:p w14:paraId="0A5BF7DD" w14:textId="214C5327" w:rsidR="00C70E5E" w:rsidRDefault="00756336" w:rsidP="00534DE2">
      <w:pPr>
        <w:spacing w:line="480" w:lineRule="auto"/>
        <w:rPr>
          <w:b/>
        </w:rPr>
      </w:pPr>
      <w:r>
        <w:rPr>
          <w:b/>
        </w:rPr>
        <w:t xml:space="preserve">Discussion </w:t>
      </w:r>
    </w:p>
    <w:p w14:paraId="5AAFA058" w14:textId="1A3CC1E0" w:rsidR="00612702" w:rsidRDefault="00756336" w:rsidP="00534DE2">
      <w:pPr>
        <w:spacing w:line="480" w:lineRule="auto"/>
      </w:pPr>
      <w:r>
        <w:rPr>
          <w:b/>
        </w:rPr>
        <w:tab/>
      </w:r>
      <w:r w:rsidR="00572106">
        <w:t>Our purpose in this study</w:t>
      </w:r>
      <w:r w:rsidR="00300EF6">
        <w:t xml:space="preserve"> was to determine factors relevant to the promotion of underrepresented groups into two </w:t>
      </w:r>
      <w:r w:rsidR="00572106">
        <w:t>basic types</w:t>
      </w:r>
      <w:r w:rsidR="00300EF6">
        <w:t xml:space="preserve"> of important </w:t>
      </w:r>
      <w:r w:rsidR="00572106">
        <w:t xml:space="preserve">federal </w:t>
      </w:r>
      <w:r w:rsidR="00300EF6">
        <w:t xml:space="preserve">policymaking positions. By training our focus on the careers of U.S. Attorneys, we undertook that determination in a way that held a general qualification constant. Beyond that, and relatively unique </w:t>
      </w:r>
      <w:r w:rsidR="00A43592">
        <w:t>among</w:t>
      </w:r>
      <w:r w:rsidR="00300EF6">
        <w:t xml:space="preserve"> studies of </w:t>
      </w:r>
      <w:r w:rsidR="009D1D9D">
        <w:t xml:space="preserve">descriptive representation </w:t>
      </w:r>
      <w:r w:rsidR="00300EF6">
        <w:t xml:space="preserve">in governmental positions, this allowed us to control for </w:t>
      </w:r>
      <w:r w:rsidR="00572106">
        <w:t xml:space="preserve">potentially important variations in individual performance. It also permitted us to juxtapose each USA’s ideological position </w:t>
      </w:r>
      <w:r w:rsidR="009D1D9D">
        <w:t>with</w:t>
      </w:r>
      <w:r w:rsidR="00572106">
        <w:t xml:space="preserve"> that of the president</w:t>
      </w:r>
      <w:r w:rsidR="009D1D9D">
        <w:t xml:space="preserve">—the individual ultimately responsible for </w:t>
      </w:r>
      <w:r w:rsidR="009D1D9D">
        <w:lastRenderedPageBreak/>
        <w:t>deciding whether to nominate them to a judicial or higher executive position</w:t>
      </w:r>
      <w:r w:rsidR="00572106">
        <w:t xml:space="preserve">. </w:t>
      </w:r>
      <w:r w:rsidR="009D1D9D">
        <w:t xml:space="preserve">We controlled for several additional factors and, after doing so, determined that one’s service as a USA is more advantageous in the context of nomination to these positions for traditionally underrepresented individuals than for white men. </w:t>
      </w:r>
    </w:p>
    <w:p w14:paraId="04E402E9" w14:textId="01547923" w:rsidR="00756336" w:rsidRDefault="00612702" w:rsidP="00534DE2">
      <w:pPr>
        <w:spacing w:line="480" w:lineRule="auto"/>
      </w:pPr>
      <w:r>
        <w:tab/>
        <w:t>In light of our results, it seems likely there are important unexplored aspects related to how a position like that of USA might be used by a forward-thinking administration to set up preferred candidates for further advancement. Additional avenues for future inquiry here might be to investigate whether there are differences in the rates at which presidents nominate former USAs to judicial and/or bureaucratic positions when the political opposition controls the confirmation process or, in the case of judicial nominees, whether presidents are more likely to nominate former USAs when filling vacancies in states whose U.S. senators are political opponents. A final extension of this line of research might involve assessments of the movement of Assistant USAs to these positions—in contrast to politically-appointed USAs, these government attorneys have civil service protection. But it is possible that the AUSA qualification may also be of special value for members of traditionally underrepresented groups</w:t>
      </w:r>
      <w:r w:rsidR="00E975AA">
        <w:t>; indeed, one could posit this position’s formally</w:t>
      </w:r>
      <w:r>
        <w:t xml:space="preserve"> </w:t>
      </w:r>
      <w:r w:rsidR="00E975AA">
        <w:t>apolitical nature could be of special utility in some instances</w:t>
      </w:r>
      <w:r>
        <w:t xml:space="preserve">.   </w:t>
      </w:r>
    </w:p>
    <w:p w14:paraId="5A1E7272" w14:textId="7E062F9C" w:rsidR="00B67155" w:rsidRDefault="00B67155" w:rsidP="00534DE2">
      <w:pPr>
        <w:spacing w:line="480" w:lineRule="auto"/>
      </w:pPr>
      <w:r>
        <w:tab/>
        <w:t xml:space="preserve">As </w:t>
      </w:r>
      <w:r w:rsidR="00CB2582">
        <w:t xml:space="preserve">is true of any study, ours has limitations. Perhaps most evident among them is </w:t>
      </w:r>
      <w:r w:rsidR="00412953">
        <w:t>its</w:t>
      </w:r>
      <w:r w:rsidR="00CB2582">
        <w:t xml:space="preserve"> inability to tap the career path preferences of individual USAs</w:t>
      </w:r>
      <w:r w:rsidR="0048051C">
        <w:t xml:space="preserve">. </w:t>
      </w:r>
      <w:r w:rsidR="00BC5F23">
        <w:t>I</w:t>
      </w:r>
      <w:r w:rsidR="00CB2582">
        <w:t xml:space="preserve">t is conceivable that some USAs presidents might wish to tap for judicial or bureaucratic positions have </w:t>
      </w:r>
      <w:r w:rsidR="009153FD">
        <w:t>idiosyncratic reasons for refusing those appointments</w:t>
      </w:r>
      <w:r w:rsidR="00C923AB">
        <w:t xml:space="preserve">. Unfortunately, </w:t>
      </w:r>
      <w:r w:rsidR="009153FD">
        <w:t>these</w:t>
      </w:r>
      <w:r w:rsidR="00C923AB">
        <w:t xml:space="preserve"> declinations are unobservable.  In other words</w:t>
      </w:r>
      <w:r w:rsidR="00926861">
        <w:t>,</w:t>
      </w:r>
      <w:r w:rsidR="00C923AB">
        <w:t xml:space="preserve"> </w:t>
      </w:r>
      <w:r w:rsidR="00926861">
        <w:t xml:space="preserve">the </w:t>
      </w:r>
      <w:r w:rsidR="00C923AB">
        <w:t>full</w:t>
      </w:r>
      <w:r w:rsidR="00926861">
        <w:t xml:space="preserve"> causal story incorporates two actors—the president who must nominate and the USA who must accept that nomination. </w:t>
      </w:r>
      <w:r w:rsidR="00C923AB">
        <w:t>Absent that information, we</w:t>
      </w:r>
      <w:r w:rsidR="00412953">
        <w:t xml:space="preserve"> </w:t>
      </w:r>
      <w:r w:rsidR="005A6F7F">
        <w:t xml:space="preserve">must </w:t>
      </w:r>
      <w:r w:rsidR="00C923AB">
        <w:t xml:space="preserve">focus on the </w:t>
      </w:r>
      <w:r w:rsidR="00C923AB">
        <w:lastRenderedPageBreak/>
        <w:t>president as the key gatekeeper</w:t>
      </w:r>
      <w:r w:rsidR="009153FD">
        <w:t xml:space="preserve">. </w:t>
      </w:r>
      <w:r w:rsidR="009238F3">
        <w:t>Even so, i</w:t>
      </w:r>
      <w:r w:rsidR="005A6F7F">
        <w:t>t is worth noting that some general</w:t>
      </w:r>
      <w:r w:rsidR="00BC5F23">
        <w:t xml:space="preserve"> evidence exists to suggest that, at least collectively, USAs appear to prioritize federal judgeships and executive promotions ahead of other alternatives (Miller and Curry 2019, 177-178; see also Eisenstein 1978). </w:t>
      </w:r>
    </w:p>
    <w:p w14:paraId="114120D4" w14:textId="42216DE2" w:rsidR="00412953" w:rsidRDefault="00412953" w:rsidP="00534DE2">
      <w:pPr>
        <w:spacing w:line="480" w:lineRule="auto"/>
      </w:pPr>
      <w:r>
        <w:tab/>
      </w:r>
      <w:r w:rsidR="00705D54">
        <w:t xml:space="preserve">A related question stems from </w:t>
      </w:r>
      <w:r>
        <w:t>evidence that women (Williams 2008</w:t>
      </w:r>
      <w:r w:rsidR="00E04F05">
        <w:t>; Noonan and Corcoran 2004</w:t>
      </w:r>
      <w:r>
        <w:t xml:space="preserve">) and minority (e.g., </w:t>
      </w:r>
      <w:proofErr w:type="spellStart"/>
      <w:r>
        <w:t>Lempert</w:t>
      </w:r>
      <w:proofErr w:type="spellEnd"/>
      <w:r>
        <w:t xml:space="preserve"> et al. 2000) </w:t>
      </w:r>
      <w:r w:rsidR="00E04F05">
        <w:t xml:space="preserve">attorneys </w:t>
      </w:r>
      <w:r>
        <w:t xml:space="preserve">are </w:t>
      </w:r>
      <w:r w:rsidR="00E04F05">
        <w:t xml:space="preserve">generally </w:t>
      </w:r>
      <w:r>
        <w:t xml:space="preserve">more attracted to government work than </w:t>
      </w:r>
      <w:r w:rsidR="00E04F05">
        <w:t>are</w:t>
      </w:r>
      <w:r>
        <w:t xml:space="preserve"> their white, male counterparts. </w:t>
      </w:r>
      <w:r w:rsidR="00E04F05">
        <w:t xml:space="preserve">According to </w:t>
      </w:r>
      <w:proofErr w:type="spellStart"/>
      <w:r w:rsidR="00E04F05">
        <w:t>Lempert</w:t>
      </w:r>
      <w:proofErr w:type="spellEnd"/>
      <w:r w:rsidR="00E04F05">
        <w:t xml:space="preserve"> et al. (2000, 427), in every decade they examine “the proportion of minority students taking first jobs in government has substantially exceeded the numbers of whites taking government jobs.” </w:t>
      </w:r>
      <w:r w:rsidR="00705D54">
        <w:t xml:space="preserve">Here, we think it important to remember that our study’s population of interest – USAs – is, by definition, </w:t>
      </w:r>
      <w:r w:rsidR="00356DD4">
        <w:t>comprised of individuals who have a penchant for governmental service and have self-selected into it. Though we cannot know for sure, it seems likely to us that the individual</w:t>
      </w:r>
      <w:r w:rsidR="00D556B7">
        <w:t xml:space="preserve"> preferences</w:t>
      </w:r>
      <w:r w:rsidR="00356DD4">
        <w:t xml:space="preserve"> </w:t>
      </w:r>
      <w:r w:rsidR="006D2987">
        <w:t xml:space="preserve">of those </w:t>
      </w:r>
      <w:r w:rsidR="00356DD4">
        <w:t xml:space="preserve">we examine are </w:t>
      </w:r>
      <w:r w:rsidR="00D556B7">
        <w:t xml:space="preserve">unlikely to </w:t>
      </w:r>
      <w:r w:rsidR="006D2987">
        <w:t>match</w:t>
      </w:r>
      <w:r w:rsidR="00D556B7">
        <w:t xml:space="preserve"> the </w:t>
      </w:r>
      <w:r w:rsidR="006D2987">
        <w:t>magnitude of the</w:t>
      </w:r>
      <w:r w:rsidR="00D556B7">
        <w:t xml:space="preserve"> demographic trends </w:t>
      </w:r>
      <w:r w:rsidR="006D2987">
        <w:t>observed</w:t>
      </w:r>
      <w:r w:rsidR="00D556B7">
        <w:t xml:space="preserve"> </w:t>
      </w:r>
      <w:r w:rsidR="006D2987">
        <w:t>in the broader legal profession</w:t>
      </w:r>
      <w:r w:rsidR="00D556B7">
        <w:t xml:space="preserve">. </w:t>
      </w:r>
    </w:p>
    <w:p w14:paraId="34634860" w14:textId="4764CD12" w:rsidR="00412953" w:rsidRPr="006573A0" w:rsidRDefault="00412953" w:rsidP="00534DE2">
      <w:pPr>
        <w:spacing w:line="480" w:lineRule="auto"/>
        <w:rPr>
          <w:b/>
          <w:bCs/>
        </w:rPr>
      </w:pPr>
      <w:r>
        <w:rPr>
          <w:b/>
          <w:bCs/>
        </w:rPr>
        <w:t>Conclusion</w:t>
      </w:r>
    </w:p>
    <w:p w14:paraId="43C41EF0" w14:textId="2E3143DE" w:rsidR="009D1D9D" w:rsidRDefault="009D1D9D" w:rsidP="00534DE2">
      <w:pPr>
        <w:spacing w:line="480" w:lineRule="auto"/>
      </w:pPr>
      <w:r>
        <w:tab/>
      </w:r>
      <w:r w:rsidR="00126BD7">
        <w:t xml:space="preserve"> Scholars of both the bureaucracy and the courts have long been concerned with representativeness because representativeness is fundamental for democratic governance (</w:t>
      </w:r>
      <w:r w:rsidR="00D02F70">
        <w:t xml:space="preserve">e.g. </w:t>
      </w:r>
      <w:proofErr w:type="spellStart"/>
      <w:r w:rsidR="00126BD7">
        <w:t>Mansbridge</w:t>
      </w:r>
      <w:proofErr w:type="spellEnd"/>
      <w:r w:rsidR="00126BD7">
        <w:t xml:space="preserve"> 1999). Yet social inequalities persist in the federal bureaucracy (e.g. </w:t>
      </w:r>
      <w:proofErr w:type="spellStart"/>
      <w:r w:rsidR="00126BD7">
        <w:t>Anestaki</w:t>
      </w:r>
      <w:proofErr w:type="spellEnd"/>
      <w:r w:rsidR="00126BD7">
        <w:t xml:space="preserve"> et al. 2019, 198) and in the federal courts (e.g. </w:t>
      </w:r>
      <w:proofErr w:type="spellStart"/>
      <w:r w:rsidR="00126BD7">
        <w:t>Gryski</w:t>
      </w:r>
      <w:proofErr w:type="spellEnd"/>
      <w:r w:rsidR="00126BD7">
        <w:t xml:space="preserve"> et al. 1994).</w:t>
      </w:r>
      <w:r>
        <w:t xml:space="preserve"> For those concerned about </w:t>
      </w:r>
      <w:r w:rsidR="00EF31E6">
        <w:t>the diversity of governmental institutions,</w:t>
      </w:r>
      <w:r>
        <w:t xml:space="preserve"> the USA path appears to be a viable pipeline by which members of traditionally underrepresented groups might increase their share of positions</w:t>
      </w:r>
      <w:r w:rsidR="00EF31E6">
        <w:t xml:space="preserve"> in those institutions</w:t>
      </w:r>
      <w:r>
        <w:t xml:space="preserve">. </w:t>
      </w:r>
    </w:p>
    <w:p w14:paraId="322E20B7" w14:textId="4E7D47D3" w:rsidR="005A334D" w:rsidRDefault="009D1D9D" w:rsidP="008E1BFD">
      <w:pPr>
        <w:spacing w:line="480" w:lineRule="auto"/>
        <w:ind w:firstLine="720"/>
      </w:pPr>
      <w:r>
        <w:lastRenderedPageBreak/>
        <w:t xml:space="preserve">By the same token, </w:t>
      </w:r>
      <w:r w:rsidR="00543CDE">
        <w:t>t</w:t>
      </w:r>
      <w:r>
        <w:t xml:space="preserve">he </w:t>
      </w:r>
      <w:r w:rsidR="00543CDE">
        <w:t>potential for</w:t>
      </w:r>
      <w:r>
        <w:t xml:space="preserve"> </w:t>
      </w:r>
      <w:r w:rsidR="00A43592">
        <w:t>the</w:t>
      </w:r>
      <w:r>
        <w:t xml:space="preserve"> USA </w:t>
      </w:r>
      <w:r w:rsidR="00A43592">
        <w:t>position</w:t>
      </w:r>
      <w:r>
        <w:t xml:space="preserve"> </w:t>
      </w:r>
      <w:r w:rsidR="00543CDE">
        <w:t xml:space="preserve">to be </w:t>
      </w:r>
      <w:r>
        <w:t xml:space="preserve">a </w:t>
      </w:r>
      <w:r w:rsidR="00543CDE">
        <w:t>throughway</w:t>
      </w:r>
      <w:r>
        <w:t xml:space="preserve"> </w:t>
      </w:r>
      <w:r w:rsidR="005A334D">
        <w:t>to</w:t>
      </w:r>
      <w:r>
        <w:t xml:space="preserve"> more opportunit</w:t>
      </w:r>
      <w:r w:rsidR="0079063D">
        <w:t xml:space="preserve">ies </w:t>
      </w:r>
      <w:r>
        <w:t xml:space="preserve">for nontraditional candidates in higher governmental positions is dependent upon establishing a threshold level of diversity </w:t>
      </w:r>
      <w:r w:rsidR="00FA7720">
        <w:t>among</w:t>
      </w:r>
      <w:r>
        <w:t xml:space="preserve"> USAs in the first place. As </w:t>
      </w:r>
      <w:r w:rsidR="00EF31E6">
        <w:t xml:space="preserve">illustrated in Table </w:t>
      </w:r>
      <w:r w:rsidR="005902CC">
        <w:t>9</w:t>
      </w:r>
      <w:r>
        <w:t xml:space="preserve">, underrepresented USAs are </w:t>
      </w:r>
      <w:r w:rsidRPr="00EF31E6">
        <w:t>more</w:t>
      </w:r>
      <w:r>
        <w:rPr>
          <w:i/>
        </w:rPr>
        <w:t xml:space="preserve"> </w:t>
      </w:r>
      <w:r>
        <w:t>likely—about 1</w:t>
      </w:r>
      <w:r w:rsidR="0032263A">
        <w:t>0</w:t>
      </w:r>
      <w:r>
        <w:t xml:space="preserve"> percentage points more likely—to be nominated for promotion </w:t>
      </w:r>
      <w:r w:rsidR="00B34F2C">
        <w:t xml:space="preserve">to an executive position </w:t>
      </w:r>
      <w:r w:rsidR="00A43592">
        <w:t>under</w:t>
      </w:r>
      <w:r>
        <w:t xml:space="preserve"> a Republican president</w:t>
      </w:r>
      <w:r w:rsidR="00A81FF6">
        <w:t xml:space="preserve"> than are white male USAs. This suggests that the lack of diversity amongst USAs may be especially consequential for </w:t>
      </w:r>
      <w:r w:rsidR="00A43592">
        <w:t xml:space="preserve">those </w:t>
      </w:r>
      <w:r w:rsidR="00E3659C">
        <w:t xml:space="preserve">types of </w:t>
      </w:r>
      <w:r w:rsidR="00A81FF6">
        <w:t>promotion opportunities under Republican administrations</w:t>
      </w:r>
      <w:r w:rsidR="00A43592">
        <w:t>. If that is</w:t>
      </w:r>
      <w:r w:rsidR="00A81FF6">
        <w:t xml:space="preserve"> so, recent developments paint a</w:t>
      </w:r>
      <w:r w:rsidR="00A43592">
        <w:t>n ominous</w:t>
      </w:r>
      <w:r w:rsidR="00A81FF6">
        <w:t xml:space="preserve"> picture. Nearly a year into President Donald Trump’s administration, </w:t>
      </w:r>
      <w:r w:rsidR="0079063D">
        <w:t xml:space="preserve">only one of 46 nominees put forward for U.S. Attorney was a woman </w:t>
      </w:r>
      <w:r w:rsidR="00A43592">
        <w:t xml:space="preserve">and the lack of racial or ethnic diversity was </w:t>
      </w:r>
      <w:r w:rsidR="00E3659C">
        <w:t>similarly noteworthy</w:t>
      </w:r>
      <w:r w:rsidR="00A43592">
        <w:t xml:space="preserve"> among recent administrations</w:t>
      </w:r>
      <w:r w:rsidR="00BE4093">
        <w:t>,</w:t>
      </w:r>
      <w:r w:rsidR="00E3659C">
        <w:t xml:space="preserve"> of both parties</w:t>
      </w:r>
      <w:r w:rsidR="00A43592">
        <w:t xml:space="preserve"> </w:t>
      </w:r>
      <w:r w:rsidR="0079063D">
        <w:t>(</w:t>
      </w:r>
      <w:proofErr w:type="spellStart"/>
      <w:r w:rsidR="0079063D">
        <w:t>Biskupic</w:t>
      </w:r>
      <w:proofErr w:type="spellEnd"/>
      <w:r w:rsidR="0079063D">
        <w:t xml:space="preserve"> 2017). </w:t>
      </w:r>
    </w:p>
    <w:p w14:paraId="467E6E26" w14:textId="449AD480" w:rsidR="004A6063" w:rsidRDefault="0079063D" w:rsidP="005A334D">
      <w:pPr>
        <w:spacing w:line="480" w:lineRule="auto"/>
        <w:ind w:firstLine="720"/>
      </w:pPr>
      <w:r>
        <w:t xml:space="preserve">Many advocates of representative bureaucracy undoubtedly hoped this dip </w:t>
      </w:r>
      <w:r w:rsidR="005A334D">
        <w:t>would prove</w:t>
      </w:r>
      <w:r>
        <w:t xml:space="preserve"> ephemeral. At this writing, </w:t>
      </w:r>
      <w:r w:rsidR="00A43592">
        <w:t xml:space="preserve">however, </w:t>
      </w:r>
      <w:r w:rsidR="00543CDE">
        <w:t xml:space="preserve">about </w:t>
      </w:r>
      <w:r>
        <w:t xml:space="preserve">87% of the </w:t>
      </w:r>
      <w:r w:rsidR="00E3659C">
        <w:t xml:space="preserve">Trump </w:t>
      </w:r>
      <w:r>
        <w:t>administration’s nominees for the position of U.S. Attorney have been white males</w:t>
      </w:r>
      <w:r w:rsidR="00126BD7">
        <w:t>:</w:t>
      </w:r>
      <w:r>
        <w:t xml:space="preserve"> 92% of have been men, and 92% have been white. </w:t>
      </w:r>
      <w:r w:rsidR="008E1BFD">
        <w:t>President Trump</w:t>
      </w:r>
      <w:r>
        <w:t xml:space="preserve"> has nominated </w:t>
      </w:r>
      <w:r w:rsidR="00803080">
        <w:t xml:space="preserve">just </w:t>
      </w:r>
      <w:r>
        <w:t>11 nontraditional USAs—</w:t>
      </w:r>
      <w:r w:rsidR="008E1BFD">
        <w:t xml:space="preserve">seven women (four whites, two Latinas, and one Asian American) and four men (two Asian Americans and two African Americans). </w:t>
      </w:r>
      <w:r w:rsidR="00FA7720">
        <w:t>In light of our results here, t</w:t>
      </w:r>
      <w:r w:rsidR="004A6063">
        <w:t xml:space="preserve">he implications for this are </w:t>
      </w:r>
      <w:r w:rsidR="00E3659C">
        <w:t>evident</w:t>
      </w:r>
      <w:r w:rsidR="004A6063">
        <w:t xml:space="preserve">. To whatever degree </w:t>
      </w:r>
      <w:r w:rsidR="00E3659C">
        <w:t>this</w:t>
      </w:r>
      <w:r w:rsidR="004A6063">
        <w:t xml:space="preserve"> or a future Republican administration might wish to tap partisans with the USA credentia</w:t>
      </w:r>
      <w:r w:rsidR="00D93C72">
        <w:t xml:space="preserve">l for judicial or executive positions, </w:t>
      </w:r>
      <w:r w:rsidR="00E3659C">
        <w:t>it</w:t>
      </w:r>
      <w:r w:rsidR="00D93C72">
        <w:t xml:space="preserve"> will be severely limited in </w:t>
      </w:r>
      <w:r w:rsidR="00E3659C">
        <w:t>its</w:t>
      </w:r>
      <w:r w:rsidR="00D93C72">
        <w:t xml:space="preserve"> ability to diversity the ranks of government.</w:t>
      </w:r>
      <w:r w:rsidR="004A6063">
        <w:t xml:space="preserve"> </w:t>
      </w:r>
      <w:r w:rsidR="00D93C72">
        <w:t xml:space="preserve">Given both the Democratic party’s more demographically diverse political coalition and the more ideologically liberal bent of the legal profession </w:t>
      </w:r>
      <w:r w:rsidR="00A43592">
        <w:t xml:space="preserve">writ large </w:t>
      </w:r>
      <w:r w:rsidR="00D93C72">
        <w:t xml:space="preserve">(e.g., </w:t>
      </w:r>
      <w:proofErr w:type="spellStart"/>
      <w:r w:rsidR="005B655E">
        <w:t>Bonica</w:t>
      </w:r>
      <w:proofErr w:type="spellEnd"/>
      <w:r w:rsidR="005B655E">
        <w:t xml:space="preserve">, Chilton, and Sen 2016), the implications of this </w:t>
      </w:r>
      <w:r w:rsidR="00A43592">
        <w:t xml:space="preserve">lack of diversity amongst </w:t>
      </w:r>
      <w:r w:rsidR="00A43592">
        <w:lastRenderedPageBreak/>
        <w:t>USAs</w:t>
      </w:r>
      <w:r w:rsidR="005B655E">
        <w:t xml:space="preserve"> are likely to be </w:t>
      </w:r>
      <w:r w:rsidR="00A43592">
        <w:t xml:space="preserve">a </w:t>
      </w:r>
      <w:r w:rsidR="005B655E">
        <w:t xml:space="preserve">particularly significant </w:t>
      </w:r>
      <w:r w:rsidR="00A43592">
        <w:t>challenge</w:t>
      </w:r>
      <w:r w:rsidR="005B655E">
        <w:t xml:space="preserve"> to any Republican efforts to increase the representation of women and minorities in these higher positions.</w:t>
      </w:r>
    </w:p>
    <w:p w14:paraId="39B99AAB" w14:textId="4E338A2C" w:rsidR="004A6063" w:rsidRDefault="005B655E" w:rsidP="0032263A">
      <w:pPr>
        <w:spacing w:line="480" w:lineRule="auto"/>
        <w:ind w:firstLine="720"/>
      </w:pPr>
      <w:r>
        <w:t xml:space="preserve">In the immediate term, the representative bureaucracy perspective </w:t>
      </w:r>
      <w:r w:rsidR="00A43592">
        <w:t>predict</w:t>
      </w:r>
      <w:r w:rsidR="001A3E75">
        <w:t>s that</w:t>
      </w:r>
      <w:r>
        <w:t xml:space="preserve"> this lack of diversity amongst USAs </w:t>
      </w:r>
      <w:r w:rsidR="00514B9B">
        <w:t>will</w:t>
      </w:r>
      <w:r>
        <w:t xml:space="preserve"> have its own consequences</w:t>
      </w:r>
      <w:r w:rsidR="00A43592">
        <w:t xml:space="preserve"> for the legitimacy of governmental institutions and the decisions they reach (e.g., </w:t>
      </w:r>
      <w:r w:rsidR="00BE4093">
        <w:t xml:space="preserve">Lim 2006; </w:t>
      </w:r>
      <w:r w:rsidR="00A43592">
        <w:t xml:space="preserve">Sowa and Selden 2003). </w:t>
      </w:r>
      <w:r w:rsidR="00514B9B">
        <w:t xml:space="preserve">As </w:t>
      </w:r>
      <w:proofErr w:type="spellStart"/>
      <w:r w:rsidR="00514B9B">
        <w:t>Vanita</w:t>
      </w:r>
      <w:proofErr w:type="spellEnd"/>
      <w:r w:rsidR="00514B9B">
        <w:t xml:space="preserve"> Gupta, who led the Civil Rights Division at the Department of Justice during the Obama administration, put it, “Having diversity both in gender and race among the crop of U.S. attorneys is vital. They need to have the trust of the community. [Any lack of diversity is] going to have an impact on how the Justice Department is viewed (qtd. in </w:t>
      </w:r>
      <w:proofErr w:type="spellStart"/>
      <w:r w:rsidR="00514B9B">
        <w:t>Biskupic</w:t>
      </w:r>
      <w:proofErr w:type="spellEnd"/>
      <w:r w:rsidR="00514B9B">
        <w:t xml:space="preserve"> 2017).</w:t>
      </w:r>
    </w:p>
    <w:p w14:paraId="4F8285E3" w14:textId="77777777" w:rsidR="00B248B5" w:rsidRDefault="00B248B5" w:rsidP="0032263A">
      <w:pPr>
        <w:spacing w:line="480" w:lineRule="auto"/>
        <w:ind w:firstLine="720"/>
      </w:pPr>
    </w:p>
    <w:p w14:paraId="5D572869" w14:textId="77777777" w:rsidR="00B248B5" w:rsidRDefault="00B248B5" w:rsidP="0032263A">
      <w:pPr>
        <w:spacing w:line="480" w:lineRule="auto"/>
        <w:ind w:firstLine="720"/>
      </w:pPr>
    </w:p>
    <w:p w14:paraId="13A7FA92" w14:textId="77777777" w:rsidR="00AE6705" w:rsidRPr="0032263A" w:rsidRDefault="00AE6705" w:rsidP="000E1BF0">
      <w:pPr>
        <w:spacing w:line="480" w:lineRule="auto"/>
      </w:pPr>
    </w:p>
    <w:p w14:paraId="1B9541C9" w14:textId="7B409ABE" w:rsidR="00C70E5E" w:rsidRDefault="00C70E5E" w:rsidP="00534DE2">
      <w:pPr>
        <w:spacing w:line="480" w:lineRule="auto"/>
        <w:rPr>
          <w:b/>
        </w:rPr>
      </w:pPr>
      <w:r>
        <w:rPr>
          <w:b/>
        </w:rPr>
        <w:t>References</w:t>
      </w:r>
    </w:p>
    <w:p w14:paraId="787D6B99" w14:textId="458D02B6" w:rsidR="00C70E5E" w:rsidRDefault="00C83103" w:rsidP="00534DE2">
      <w:pPr>
        <w:spacing w:line="480" w:lineRule="auto"/>
      </w:pPr>
      <w:proofErr w:type="spellStart"/>
      <w:r>
        <w:t>Anestaki</w:t>
      </w:r>
      <w:proofErr w:type="spellEnd"/>
      <w:r>
        <w:t xml:space="preserve">, </w:t>
      </w:r>
      <w:proofErr w:type="spellStart"/>
      <w:r>
        <w:t>Aikaterini</w:t>
      </w:r>
      <w:proofErr w:type="spellEnd"/>
      <w:r>
        <w:t xml:space="preserve">, Meghna Sabharwal, Kenneth Connelly, and N. Joseph </w:t>
      </w:r>
      <w:proofErr w:type="spellStart"/>
      <w:r>
        <w:t>Cayer</w:t>
      </w:r>
      <w:proofErr w:type="spellEnd"/>
      <w:r>
        <w:t xml:space="preserve">. 2019. “Race and Gender Representation in Presidential Appointments, SES, and GS Levels, During Clinton, Bush, and Obama Administrations.” </w:t>
      </w:r>
      <w:r>
        <w:rPr>
          <w:i/>
        </w:rPr>
        <w:t xml:space="preserve">Administration &amp; Society </w:t>
      </w:r>
      <w:r>
        <w:t>51: 197-228.</w:t>
      </w:r>
    </w:p>
    <w:p w14:paraId="4DADC700" w14:textId="3DBC91F8" w:rsidR="00C83103" w:rsidRDefault="00C83103" w:rsidP="00534DE2">
      <w:pPr>
        <w:spacing w:line="480" w:lineRule="auto"/>
      </w:pPr>
      <w:proofErr w:type="spellStart"/>
      <w:r>
        <w:t>Baldi</w:t>
      </w:r>
      <w:proofErr w:type="spellEnd"/>
      <w:r>
        <w:t xml:space="preserve">, Stephane and Debra Branch </w:t>
      </w:r>
      <w:proofErr w:type="spellStart"/>
      <w:r>
        <w:t>McBrier</w:t>
      </w:r>
      <w:proofErr w:type="spellEnd"/>
      <w:r>
        <w:t xml:space="preserve">. 1997. “Do the Determinants of Promotion Differ for Blacks and Whites? Evidence from the U.S. Labor Market.” </w:t>
      </w:r>
      <w:r>
        <w:rPr>
          <w:i/>
        </w:rPr>
        <w:t xml:space="preserve">Work and Occupations </w:t>
      </w:r>
      <w:r>
        <w:t>24: 478-497.</w:t>
      </w:r>
    </w:p>
    <w:p w14:paraId="4E72AA11" w14:textId="1ED239E8" w:rsidR="00B34F2C" w:rsidRDefault="00C83103" w:rsidP="00B34F2C">
      <w:pPr>
        <w:spacing w:line="480" w:lineRule="auto"/>
      </w:pPr>
      <w:proofErr w:type="spellStart"/>
      <w:r>
        <w:t>Barkow</w:t>
      </w:r>
      <w:proofErr w:type="spellEnd"/>
      <w:r>
        <w:t xml:space="preserve">, Rachel. 2009. “Institutional Design and the Policing of Prosecutors: Lessons from Administrative Law.” </w:t>
      </w:r>
      <w:r>
        <w:rPr>
          <w:i/>
        </w:rPr>
        <w:t xml:space="preserve">Stanford Law Review </w:t>
      </w:r>
      <w:r>
        <w:t>61: 869-921.</w:t>
      </w:r>
    </w:p>
    <w:p w14:paraId="020428DD" w14:textId="6D955400" w:rsidR="00DD37F0" w:rsidRPr="00DD37F0" w:rsidRDefault="00DD37F0" w:rsidP="00B34F2C">
      <w:pPr>
        <w:spacing w:line="480" w:lineRule="auto"/>
      </w:pPr>
      <w:r>
        <w:t xml:space="preserve">Bell, Lauren Cohen. 2002. “Senatorial Discourtesy: The Senate’s Use of Delay to Shape the Federal Judiciary.” </w:t>
      </w:r>
      <w:r>
        <w:rPr>
          <w:i/>
        </w:rPr>
        <w:t xml:space="preserve">Political Research Quarterly </w:t>
      </w:r>
      <w:r>
        <w:t>55: 589-607.</w:t>
      </w:r>
    </w:p>
    <w:p w14:paraId="0AF03A07" w14:textId="77777777" w:rsidR="00B34F2C" w:rsidRDefault="00B34F2C" w:rsidP="00B34F2C">
      <w:pPr>
        <w:spacing w:line="480" w:lineRule="auto"/>
      </w:pPr>
      <w:proofErr w:type="spellStart"/>
      <w:r>
        <w:lastRenderedPageBreak/>
        <w:t>Biskupic</w:t>
      </w:r>
      <w:proofErr w:type="spellEnd"/>
      <w:r>
        <w:t xml:space="preserve">, Joan. 2017. “Trump Has Nominated 42 People for U.S. Attorney. Only one is a Woman.” </w:t>
      </w:r>
      <w:r>
        <w:rPr>
          <w:i/>
        </w:rPr>
        <w:t xml:space="preserve">CNN, </w:t>
      </w:r>
      <w:r>
        <w:t xml:space="preserve">17 September. </w:t>
      </w:r>
    </w:p>
    <w:p w14:paraId="038C5988" w14:textId="31A80997" w:rsidR="005B655E" w:rsidRPr="005B655E" w:rsidRDefault="005B655E" w:rsidP="00B34F2C">
      <w:pPr>
        <w:spacing w:line="480" w:lineRule="auto"/>
      </w:pPr>
      <w:proofErr w:type="spellStart"/>
      <w:r>
        <w:t>Bonica</w:t>
      </w:r>
      <w:proofErr w:type="spellEnd"/>
      <w:r>
        <w:t xml:space="preserve">, Adam, Adam Chilton, and Maya Sen. 2016. “The Political Ideologies of American Lawyers.” </w:t>
      </w:r>
      <w:r>
        <w:rPr>
          <w:i/>
        </w:rPr>
        <w:t xml:space="preserve">Journal of Legal Analysis </w:t>
      </w:r>
      <w:r>
        <w:t>8: 277-335.</w:t>
      </w:r>
    </w:p>
    <w:p w14:paraId="5C7F115F" w14:textId="3AEAA58B" w:rsidR="00C83103" w:rsidRDefault="00C83103" w:rsidP="00B34F2C">
      <w:pPr>
        <w:spacing w:line="480" w:lineRule="auto"/>
      </w:pPr>
      <w:r>
        <w:t xml:space="preserve">Borelli, Maryanne. 2010. “The Contemporary Presidency: Gender Desegregation and Gender Integration in the President’s Cabinet, 1933-2010.” </w:t>
      </w:r>
      <w:r>
        <w:rPr>
          <w:i/>
        </w:rPr>
        <w:t xml:space="preserve">Presidential Studies Quarterly </w:t>
      </w:r>
      <w:r>
        <w:t>40: 734-749.</w:t>
      </w:r>
    </w:p>
    <w:p w14:paraId="20AF8D72" w14:textId="498036FF" w:rsidR="00C83103" w:rsidRDefault="00C83103" w:rsidP="00534DE2">
      <w:pPr>
        <w:spacing w:line="480" w:lineRule="auto"/>
      </w:pPr>
      <w:r>
        <w:t xml:space="preserve">Chesney, Robert M. 2007. “Federal Prosecution of Terrorism-Related Offenses: Conviction and Sentencing Data in Light of the ‘Soft-Sentence’ and ‘Data-Reliability’ Critiques.” </w:t>
      </w:r>
      <w:r>
        <w:rPr>
          <w:i/>
        </w:rPr>
        <w:t xml:space="preserve">Lewis &amp; Clark Law Review </w:t>
      </w:r>
      <w:r>
        <w:t>11: 851-901.</w:t>
      </w:r>
    </w:p>
    <w:p w14:paraId="56CAA51C" w14:textId="06D7E749" w:rsidR="00321701" w:rsidRPr="00321701" w:rsidRDefault="00321701" w:rsidP="00534DE2">
      <w:pPr>
        <w:spacing w:line="480" w:lineRule="auto"/>
      </w:pPr>
      <w:r>
        <w:t xml:space="preserve">Clark Jr., Ronald C., </w:t>
      </w:r>
      <w:proofErr w:type="spellStart"/>
      <w:r>
        <w:t>Holona</w:t>
      </w:r>
      <w:proofErr w:type="spellEnd"/>
      <w:r>
        <w:t xml:space="preserve"> LeAnne Ochs, and Michael Frazier. 2013. “Representative Bureaucracy: The Politics of Access to Policy-Making Positions in the Federal Executive Service.” </w:t>
      </w:r>
      <w:r>
        <w:rPr>
          <w:i/>
        </w:rPr>
        <w:t xml:space="preserve">Public Personnel Management </w:t>
      </w:r>
      <w:r>
        <w:t>42: 75-89.</w:t>
      </w:r>
    </w:p>
    <w:p w14:paraId="3ACC27C7" w14:textId="0FF6DA54" w:rsidR="00C83103" w:rsidRDefault="00C83103" w:rsidP="00534DE2">
      <w:pPr>
        <w:spacing w:line="480" w:lineRule="auto"/>
      </w:pPr>
      <w:r>
        <w:t xml:space="preserve">Daley, Dennis M. 1996. “Paths of Glory and the Glass Ceiling: Differing Patterns of Career Advancement Among Women and Minority Federal Employees.” </w:t>
      </w:r>
      <w:r>
        <w:rPr>
          <w:i/>
        </w:rPr>
        <w:t xml:space="preserve">Public Administration Quarterly </w:t>
      </w:r>
      <w:r>
        <w:t>20: 143-162.</w:t>
      </w:r>
    </w:p>
    <w:p w14:paraId="0C22903A" w14:textId="43CE0B98" w:rsidR="00C83103" w:rsidRDefault="00C83103" w:rsidP="00534DE2">
      <w:pPr>
        <w:spacing w:line="480" w:lineRule="auto"/>
      </w:pPr>
      <w:r>
        <w:t xml:space="preserve">Dolan, Julie. 2002. “Representative Bureaucracy in the Federal Executive: Gender and Spending Priorities.” </w:t>
      </w:r>
      <w:r>
        <w:rPr>
          <w:i/>
        </w:rPr>
        <w:t xml:space="preserve">Journal of Public Administration Research &amp; Theory </w:t>
      </w:r>
      <w:r>
        <w:t>12: 353-375.</w:t>
      </w:r>
    </w:p>
    <w:p w14:paraId="529FB0FE" w14:textId="20C4580F" w:rsidR="00E71476" w:rsidRPr="00E71476" w:rsidRDefault="00E71476" w:rsidP="00534DE2">
      <w:pPr>
        <w:spacing w:line="480" w:lineRule="auto"/>
      </w:pPr>
      <w:proofErr w:type="spellStart"/>
      <w:r>
        <w:t>Eagly</w:t>
      </w:r>
      <w:proofErr w:type="spellEnd"/>
      <w:r>
        <w:t xml:space="preserve">, Alice H. and Linda L. Carli. 2003. “The Female Leadership Advantage: An Evaluation of the Evidence.” </w:t>
      </w:r>
      <w:r>
        <w:rPr>
          <w:i/>
        </w:rPr>
        <w:t xml:space="preserve">The Leadership Quarterly </w:t>
      </w:r>
      <w:r>
        <w:t>14: 807-834.</w:t>
      </w:r>
    </w:p>
    <w:p w14:paraId="47FE694F" w14:textId="72292D8A" w:rsidR="00C83103" w:rsidRDefault="00C83103" w:rsidP="00534DE2">
      <w:pPr>
        <w:spacing w:line="480" w:lineRule="auto"/>
      </w:pPr>
      <w:r>
        <w:t xml:space="preserve">Eisenstein, James. 1978. </w:t>
      </w:r>
      <w:r>
        <w:rPr>
          <w:i/>
        </w:rPr>
        <w:t xml:space="preserve">Counsel for the United States: U.S. Attorneys in the Political and Legal Systems. </w:t>
      </w:r>
      <w:r>
        <w:t>Baltimore: Johns Hopkins University Press.</w:t>
      </w:r>
    </w:p>
    <w:p w14:paraId="30C50816" w14:textId="6BDE4B64" w:rsidR="004174E6" w:rsidRDefault="004174E6" w:rsidP="00534DE2">
      <w:pPr>
        <w:spacing w:line="480" w:lineRule="auto"/>
      </w:pPr>
      <w:r>
        <w:t xml:space="preserve">Eisenstein, James. 2007. “The U.S. Attorney Firings of 2006: Main Justice’s Centralization Efforts in Historical Context.” </w:t>
      </w:r>
      <w:r>
        <w:rPr>
          <w:i/>
        </w:rPr>
        <w:t xml:space="preserve">Seattle University Law Review </w:t>
      </w:r>
      <w:r>
        <w:t>31: 219-263.</w:t>
      </w:r>
    </w:p>
    <w:p w14:paraId="49FF35C3" w14:textId="5AD7E913" w:rsidR="004174E6" w:rsidRDefault="004174E6" w:rsidP="00534DE2">
      <w:pPr>
        <w:spacing w:line="480" w:lineRule="auto"/>
      </w:pPr>
      <w:proofErr w:type="spellStart"/>
      <w:r>
        <w:lastRenderedPageBreak/>
        <w:t>Eisinger</w:t>
      </w:r>
      <w:proofErr w:type="spellEnd"/>
      <w:r>
        <w:t xml:space="preserve">, Jesse. 2017. </w:t>
      </w:r>
      <w:r>
        <w:rPr>
          <w:i/>
        </w:rPr>
        <w:t xml:space="preserve">The Chickenshit Club: Why the Justice Department Fails to Prosecute Executives. </w:t>
      </w:r>
      <w:r>
        <w:t>New York: Simon &amp; Schuster.</w:t>
      </w:r>
    </w:p>
    <w:p w14:paraId="281566CE" w14:textId="50DF600D" w:rsidR="004174E6" w:rsidRDefault="004174E6" w:rsidP="00534DE2">
      <w:pPr>
        <w:spacing w:line="480" w:lineRule="auto"/>
      </w:pPr>
      <w:r>
        <w:t xml:space="preserve">Giles, </w:t>
      </w:r>
      <w:proofErr w:type="spellStart"/>
      <w:r>
        <w:t>Micheal</w:t>
      </w:r>
      <w:proofErr w:type="spellEnd"/>
      <w:r>
        <w:t xml:space="preserve"> W., Virginia A. Hettinger, and Todd C. Peppers. 2001. “Picking Federal Judges: A Note on Policy and Partisan Selection Agendas.” </w:t>
      </w:r>
      <w:r>
        <w:rPr>
          <w:i/>
        </w:rPr>
        <w:t xml:space="preserve">Political Research Quarterly </w:t>
      </w:r>
      <w:r>
        <w:t>54: 623-641.</w:t>
      </w:r>
    </w:p>
    <w:p w14:paraId="349D815B" w14:textId="2F5B488E" w:rsidR="00573E80" w:rsidRPr="00573E80" w:rsidRDefault="00573E80" w:rsidP="00534DE2">
      <w:pPr>
        <w:spacing w:line="480" w:lineRule="auto"/>
      </w:pPr>
      <w:r>
        <w:t xml:space="preserve">Gill, Rebecca D. and Christian Jensen. 2020. “Where are the Women? Legal Traditions and Descriptive Representation on the European Court of Justice.”  </w:t>
      </w:r>
      <w:r>
        <w:rPr>
          <w:i/>
          <w:iCs/>
        </w:rPr>
        <w:t>Politics, Groups, and Identities</w:t>
      </w:r>
      <w:r>
        <w:t xml:space="preserve"> 8: 122-142.</w:t>
      </w:r>
    </w:p>
    <w:p w14:paraId="5273099C" w14:textId="1BA218C8" w:rsidR="00126BD7" w:rsidRDefault="00126BD7" w:rsidP="00534DE2">
      <w:pPr>
        <w:spacing w:line="480" w:lineRule="auto"/>
      </w:pPr>
      <w:proofErr w:type="spellStart"/>
      <w:r>
        <w:t>Gryski</w:t>
      </w:r>
      <w:proofErr w:type="spellEnd"/>
      <w:r>
        <w:t xml:space="preserve">, </w:t>
      </w:r>
      <w:r w:rsidR="00D02F70">
        <w:t xml:space="preserve">Gerard, Gary </w:t>
      </w:r>
      <w:proofErr w:type="spellStart"/>
      <w:r w:rsidR="00D02F70">
        <w:t>Zuk</w:t>
      </w:r>
      <w:proofErr w:type="spellEnd"/>
      <w:r w:rsidR="00D02F70">
        <w:t>, and Debora</w:t>
      </w:r>
      <w:r w:rsidR="000E1BF0">
        <w:t>h</w:t>
      </w:r>
      <w:r w:rsidR="00D02F70">
        <w:t xml:space="preserve"> J. Barrow. 1994. “A Bench that Looks Like America? Representation of African Americans and Latinos on the Federal Courts.” </w:t>
      </w:r>
      <w:r w:rsidR="00D02F70" w:rsidRPr="00E029C2">
        <w:rPr>
          <w:i/>
        </w:rPr>
        <w:t>Journal of Politics</w:t>
      </w:r>
      <w:r w:rsidR="00D02F70">
        <w:t xml:space="preserve"> 56: 1076-1086.</w:t>
      </w:r>
    </w:p>
    <w:p w14:paraId="2474A333" w14:textId="72B9158F" w:rsidR="004174E6" w:rsidRDefault="004174E6" w:rsidP="00534DE2">
      <w:pPr>
        <w:spacing w:line="480" w:lineRule="auto"/>
      </w:pPr>
      <w:r>
        <w:t xml:space="preserve">Goldman, Sheldon. 1997. </w:t>
      </w:r>
      <w:r>
        <w:rPr>
          <w:i/>
        </w:rPr>
        <w:t xml:space="preserve">Picking Federal Judges. </w:t>
      </w:r>
      <w:r>
        <w:t>New Haven: Yale University Press.</w:t>
      </w:r>
    </w:p>
    <w:p w14:paraId="19DBA320" w14:textId="403C34B2" w:rsidR="004174E6" w:rsidRDefault="004174E6" w:rsidP="00534DE2">
      <w:pPr>
        <w:spacing w:line="480" w:lineRule="auto"/>
      </w:pPr>
      <w:r>
        <w:t xml:space="preserve">Goldman, Sheldon, Sara </w:t>
      </w:r>
      <w:proofErr w:type="spellStart"/>
      <w:r>
        <w:t>Schiavoni</w:t>
      </w:r>
      <w:proofErr w:type="spellEnd"/>
      <w:r>
        <w:t xml:space="preserve">, and Elliot </w:t>
      </w:r>
      <w:proofErr w:type="spellStart"/>
      <w:r>
        <w:t>Slotnick</w:t>
      </w:r>
      <w:proofErr w:type="spellEnd"/>
      <w:r>
        <w:t xml:space="preserve">. 2009. “W. Bush’s Judicial Legacy: Mission Accomplished.” </w:t>
      </w:r>
      <w:r>
        <w:rPr>
          <w:i/>
        </w:rPr>
        <w:t xml:space="preserve">Judicature </w:t>
      </w:r>
      <w:r>
        <w:t>92: 258-289.</w:t>
      </w:r>
    </w:p>
    <w:p w14:paraId="60BE6089" w14:textId="093DE294" w:rsidR="0000642A" w:rsidRPr="0000642A" w:rsidRDefault="0000642A" w:rsidP="00534DE2">
      <w:pPr>
        <w:spacing w:line="480" w:lineRule="auto"/>
      </w:pPr>
      <w:proofErr w:type="spellStart"/>
      <w:r>
        <w:t>Haire</w:t>
      </w:r>
      <w:proofErr w:type="spellEnd"/>
      <w:r>
        <w:t xml:space="preserve">, Susan B. 2001. “Rating the Ratings of the American Bar Association Standing Committee on Federal Judiciary.” </w:t>
      </w:r>
      <w:r>
        <w:rPr>
          <w:i/>
        </w:rPr>
        <w:t xml:space="preserve">Justice System Journal </w:t>
      </w:r>
      <w:r>
        <w:t>22: 1-17.</w:t>
      </w:r>
    </w:p>
    <w:p w14:paraId="3F0BE83D" w14:textId="1C8B399E" w:rsidR="005C1F00" w:rsidRPr="005C1F00" w:rsidRDefault="005C1F00" w:rsidP="00534DE2">
      <w:pPr>
        <w:spacing w:line="480" w:lineRule="auto"/>
      </w:pPr>
      <w:proofErr w:type="spellStart"/>
      <w:r>
        <w:t>Haire</w:t>
      </w:r>
      <w:proofErr w:type="spellEnd"/>
      <w:r>
        <w:t xml:space="preserve">, Susan B. and Laura P. Moyer. 2015. </w:t>
      </w:r>
      <w:r>
        <w:rPr>
          <w:i/>
          <w:iCs/>
        </w:rPr>
        <w:t xml:space="preserve">Diversity Matters: Judicial Policy Making in the U.S. Courts of Appeals. </w:t>
      </w:r>
      <w:r>
        <w:t>Charlottesville, VA: University of Virginia Press.</w:t>
      </w:r>
    </w:p>
    <w:p w14:paraId="0EDD67F9" w14:textId="74215D79" w:rsidR="004174E6" w:rsidRDefault="004174E6" w:rsidP="00534DE2">
      <w:pPr>
        <w:spacing w:line="480" w:lineRule="auto"/>
      </w:pPr>
      <w:r>
        <w:t xml:space="preserve">Iglesias, David, with Davin Seay. 2008. </w:t>
      </w:r>
      <w:r>
        <w:rPr>
          <w:i/>
        </w:rPr>
        <w:t xml:space="preserve">In Justice: Inside the Scandal that Rocked the Bush Administration. </w:t>
      </w:r>
      <w:r>
        <w:t>Hoboken, NJ: John Wiley &amp; Sons.</w:t>
      </w:r>
    </w:p>
    <w:p w14:paraId="3F089C17" w14:textId="1B9AB38A" w:rsidR="004174E6" w:rsidRDefault="004174E6" w:rsidP="00534DE2">
      <w:pPr>
        <w:spacing w:line="480" w:lineRule="auto"/>
      </w:pPr>
      <w:r>
        <w:t xml:space="preserve">Johnson, Carrie. 2009. “Holder Confirmed as Nation’s First Black Attorney General. He Overcame Objections by Some in GOP.” </w:t>
      </w:r>
      <w:r>
        <w:rPr>
          <w:i/>
        </w:rPr>
        <w:t xml:space="preserve">Washington Post, </w:t>
      </w:r>
      <w:r>
        <w:t>3 Feb.</w:t>
      </w:r>
    </w:p>
    <w:p w14:paraId="18E67ECA" w14:textId="55C136C8" w:rsidR="004174E6" w:rsidRDefault="003C36FA" w:rsidP="00534DE2">
      <w:pPr>
        <w:spacing w:line="480" w:lineRule="auto"/>
      </w:pPr>
      <w:r>
        <w:t xml:space="preserve">King, James D. and James W. </w:t>
      </w:r>
      <w:proofErr w:type="spellStart"/>
      <w:r>
        <w:t>Riddlesperger</w:t>
      </w:r>
      <w:proofErr w:type="spellEnd"/>
      <w:r>
        <w:t xml:space="preserve"> Jr. 2015. “Diversity and Presidential Cabinet Appointments.” </w:t>
      </w:r>
      <w:r>
        <w:rPr>
          <w:i/>
        </w:rPr>
        <w:t xml:space="preserve">Social Science Quarterly </w:t>
      </w:r>
      <w:r>
        <w:t>96: 93-103.</w:t>
      </w:r>
    </w:p>
    <w:p w14:paraId="705F7FDA" w14:textId="55C23AE2" w:rsidR="003C36FA" w:rsidRDefault="003C36FA" w:rsidP="00534DE2">
      <w:pPr>
        <w:spacing w:line="480" w:lineRule="auto"/>
      </w:pPr>
      <w:r>
        <w:lastRenderedPageBreak/>
        <w:t xml:space="preserve">Krislov, Samuel. 2012. </w:t>
      </w:r>
      <w:r>
        <w:rPr>
          <w:i/>
        </w:rPr>
        <w:t xml:space="preserve">Representative Bureaucracy. </w:t>
      </w:r>
      <w:r>
        <w:t>New Orleans: Quid Pro Books.</w:t>
      </w:r>
    </w:p>
    <w:p w14:paraId="293A6ABD" w14:textId="411D91A7" w:rsidR="00427CA2" w:rsidRPr="00427CA2" w:rsidRDefault="00427CA2" w:rsidP="00534DE2">
      <w:pPr>
        <w:spacing w:line="480" w:lineRule="auto"/>
      </w:pPr>
      <w:r>
        <w:t xml:space="preserve">Krislov, Samuel and David H. Rosenbloom. 1981. </w:t>
      </w:r>
      <w:r>
        <w:rPr>
          <w:i/>
        </w:rPr>
        <w:t xml:space="preserve">Representative Bureaucracy and the American Political System. </w:t>
      </w:r>
      <w:r>
        <w:t>New York: Praeger.</w:t>
      </w:r>
    </w:p>
    <w:p w14:paraId="46D48808" w14:textId="6B5D42A6" w:rsidR="003C36FA" w:rsidRDefault="003C36FA" w:rsidP="00534DE2">
      <w:pPr>
        <w:spacing w:line="480" w:lineRule="auto"/>
      </w:pPr>
      <w:r>
        <w:t>Lazarus, Jeffrey</w:t>
      </w:r>
      <w:r w:rsidR="008B0311">
        <w:t xml:space="preserve"> and Amy </w:t>
      </w:r>
      <w:proofErr w:type="spellStart"/>
      <w:r w:rsidR="008B0311">
        <w:t>Steigerwalt</w:t>
      </w:r>
      <w:proofErr w:type="spellEnd"/>
      <w:r w:rsidR="008B0311">
        <w:t xml:space="preserve">. 2018. </w:t>
      </w:r>
      <w:r w:rsidR="008B0311">
        <w:rPr>
          <w:i/>
        </w:rPr>
        <w:t xml:space="preserve">Gendered Vulnerability: How Women Work Harder to Stay in Office. </w:t>
      </w:r>
      <w:r w:rsidR="008B0311">
        <w:t>Ann Arbor: University of Michigan Press.</w:t>
      </w:r>
    </w:p>
    <w:p w14:paraId="73D2D748" w14:textId="0B050DF5" w:rsidR="007014BE" w:rsidRPr="007014BE" w:rsidRDefault="007014BE" w:rsidP="00534DE2">
      <w:pPr>
        <w:spacing w:line="480" w:lineRule="auto"/>
      </w:pPr>
      <w:proofErr w:type="spellStart"/>
      <w:r>
        <w:t>Lempert</w:t>
      </w:r>
      <w:proofErr w:type="spellEnd"/>
      <w:r>
        <w:t xml:space="preserve">, Richard O., David L. Chambers, and Terry K. Adams. 2000. “Michigan’s Minority Graduates in Practice: The River Runs Through Law School.” </w:t>
      </w:r>
      <w:r>
        <w:rPr>
          <w:i/>
          <w:iCs/>
        </w:rPr>
        <w:t xml:space="preserve">Law &amp; Social Inquiry </w:t>
      </w:r>
      <w:r>
        <w:t>25: 395-505.</w:t>
      </w:r>
    </w:p>
    <w:p w14:paraId="199919D3" w14:textId="043DBCE1" w:rsidR="00F51292" w:rsidRPr="00F51292" w:rsidRDefault="00F51292" w:rsidP="00534DE2">
      <w:pPr>
        <w:spacing w:line="480" w:lineRule="auto"/>
      </w:pPr>
      <w:r>
        <w:t xml:space="preserve">Lim, Hong Hai. 2006. “Representative Bureaucracy: Rethinking Substantive Effects and Active Representation.” </w:t>
      </w:r>
      <w:r>
        <w:rPr>
          <w:i/>
        </w:rPr>
        <w:t xml:space="preserve">Public Administration Review </w:t>
      </w:r>
      <w:r>
        <w:t>66: 193-204.</w:t>
      </w:r>
    </w:p>
    <w:p w14:paraId="7F413D97" w14:textId="4DCE8FED" w:rsidR="008B0311" w:rsidRDefault="00442C14" w:rsidP="00534DE2">
      <w:pPr>
        <w:spacing w:line="480" w:lineRule="auto"/>
      </w:pPr>
      <w:r>
        <w:t xml:space="preserve">Lochner, Todd. 2002. “Strategic Behavior and Prosecutorial Agenda Setting in the United States Attorneys’ Offices: The Role of U.S. Attorneys and their Assistants.” </w:t>
      </w:r>
      <w:r>
        <w:rPr>
          <w:i/>
        </w:rPr>
        <w:t xml:space="preserve">Justice System Journal </w:t>
      </w:r>
      <w:r>
        <w:t>23: 271-294.</w:t>
      </w:r>
    </w:p>
    <w:p w14:paraId="700D9865" w14:textId="7D813818" w:rsidR="00442C14" w:rsidRDefault="00442C14" w:rsidP="00534DE2">
      <w:pPr>
        <w:spacing w:line="480" w:lineRule="auto"/>
      </w:pPr>
      <w:proofErr w:type="spellStart"/>
      <w:r>
        <w:t>Mannies</w:t>
      </w:r>
      <w:proofErr w:type="spellEnd"/>
      <w:r>
        <w:t xml:space="preserve">, Jo. 1992. “Clinton Goes on Attack Here; Bush Blasted on Thomas, Lack of Strategy on Jobs.” </w:t>
      </w:r>
      <w:r>
        <w:rPr>
          <w:i/>
        </w:rPr>
        <w:t xml:space="preserve">St. Louis Post-Dispatch, </w:t>
      </w:r>
      <w:r w:rsidRPr="00903A2F">
        <w:t>1 Aug.</w:t>
      </w:r>
    </w:p>
    <w:p w14:paraId="6151DC9D" w14:textId="15D5EF5A" w:rsidR="00442C14" w:rsidRDefault="00442C14" w:rsidP="00534DE2">
      <w:pPr>
        <w:spacing w:line="480" w:lineRule="auto"/>
      </w:pPr>
      <w:proofErr w:type="spellStart"/>
      <w:r>
        <w:t>Mansbridge</w:t>
      </w:r>
      <w:proofErr w:type="spellEnd"/>
      <w:r>
        <w:t xml:space="preserve">, Jane. 1999. “Should Blacks Represent Blacks and Women Represent Women? A Contingent ‘Yes.’” </w:t>
      </w:r>
      <w:r>
        <w:rPr>
          <w:i/>
        </w:rPr>
        <w:t xml:space="preserve">Journal of Politics </w:t>
      </w:r>
      <w:r>
        <w:t>61: 621-657.</w:t>
      </w:r>
    </w:p>
    <w:p w14:paraId="4B4C0AE3" w14:textId="5959D9D1" w:rsidR="00442C14" w:rsidRDefault="00442C14" w:rsidP="00534DE2">
      <w:pPr>
        <w:spacing w:line="480" w:lineRule="auto"/>
      </w:pPr>
      <w:r>
        <w:t xml:space="preserve">McGuire, Gail M. and Barbara F. Reskin. 1993. “Authority Hierarchies at Work: The Impacts of Race and Sex.” </w:t>
      </w:r>
      <w:r>
        <w:rPr>
          <w:i/>
        </w:rPr>
        <w:t xml:space="preserve">Gender &amp; Society </w:t>
      </w:r>
      <w:r>
        <w:t>7: 487-506.</w:t>
      </w:r>
    </w:p>
    <w:p w14:paraId="67061884" w14:textId="2BD5C76B" w:rsidR="00442C14" w:rsidRDefault="00442C14" w:rsidP="00534DE2">
      <w:pPr>
        <w:spacing w:line="480" w:lineRule="auto"/>
      </w:pPr>
      <w:r>
        <w:t xml:space="preserve">Miller, Banks and Brett Curry. 2019. </w:t>
      </w:r>
      <w:r>
        <w:rPr>
          <w:i/>
        </w:rPr>
        <w:t xml:space="preserve">U.S. Attorneys, Political Control, and Career Ambition. </w:t>
      </w:r>
      <w:r>
        <w:t>New York: Oxford University Press.</w:t>
      </w:r>
    </w:p>
    <w:p w14:paraId="43502338" w14:textId="087D220C" w:rsidR="00442C14" w:rsidRDefault="00442C14" w:rsidP="00534DE2">
      <w:pPr>
        <w:spacing w:line="480" w:lineRule="auto"/>
      </w:pPr>
      <w:r>
        <w:lastRenderedPageBreak/>
        <w:t xml:space="preserve">Miller, Banks and Brett Curry. 2018. “Haphazard, Systematic, or Both? An Empirical Investigation of the United States Attorney Firings in 2006.” </w:t>
      </w:r>
      <w:r>
        <w:rPr>
          <w:i/>
        </w:rPr>
        <w:t xml:space="preserve">Journal of Law and Courts </w:t>
      </w:r>
      <w:r>
        <w:t>6: 379-403.</w:t>
      </w:r>
    </w:p>
    <w:p w14:paraId="438FE214" w14:textId="42F198D0" w:rsidR="00442C14" w:rsidRDefault="00442C14" w:rsidP="00534DE2">
      <w:pPr>
        <w:spacing w:line="480" w:lineRule="auto"/>
      </w:pPr>
      <w:r>
        <w:t>Naff</w:t>
      </w:r>
      <w:r w:rsidR="00321701">
        <w:t>, Katherine C.</w:t>
      </w:r>
      <w:r>
        <w:t xml:space="preserve"> </w:t>
      </w:r>
      <w:r w:rsidR="00321701">
        <w:t>and John</w:t>
      </w:r>
      <w:r>
        <w:t xml:space="preserve"> Crum</w:t>
      </w:r>
      <w:r w:rsidR="00321701">
        <w:t>.</w:t>
      </w:r>
      <w:r>
        <w:t xml:space="preserve"> 2000</w:t>
      </w:r>
      <w:r w:rsidR="00321701">
        <w:t xml:space="preserve">. “The President and Representative Bureaucracy: Rhetoric and Reality.” </w:t>
      </w:r>
      <w:r w:rsidR="00321701">
        <w:rPr>
          <w:i/>
        </w:rPr>
        <w:t xml:space="preserve">Public Administration Review </w:t>
      </w:r>
      <w:r w:rsidR="00321701">
        <w:t>60: 98-110.</w:t>
      </w:r>
    </w:p>
    <w:p w14:paraId="39D9E1A2" w14:textId="2410BD5B" w:rsidR="00442C14" w:rsidRDefault="00442C14" w:rsidP="00534DE2">
      <w:pPr>
        <w:spacing w:line="480" w:lineRule="auto"/>
      </w:pPr>
      <w:r>
        <w:t xml:space="preserve">Neff, Allen. 1981. </w:t>
      </w:r>
      <w:r>
        <w:rPr>
          <w:i/>
        </w:rPr>
        <w:t xml:space="preserve">The United States District Judge Nominating Commissions: Their Members, Procedures and Candidates. </w:t>
      </w:r>
      <w:r>
        <w:t xml:space="preserve">Chicago: American Judicature Society. </w:t>
      </w:r>
    </w:p>
    <w:p w14:paraId="313D0A07" w14:textId="4885844F" w:rsidR="00442C14" w:rsidRDefault="00442C14" w:rsidP="00534DE2">
      <w:pPr>
        <w:spacing w:line="480" w:lineRule="auto"/>
      </w:pPr>
      <w:r>
        <w:t xml:space="preserve">Nelson, Michael J. and Ian Ostrander. 2016. “Keeping Appointments: The Politics of Confirming United States Attorneys.” </w:t>
      </w:r>
      <w:r>
        <w:rPr>
          <w:i/>
        </w:rPr>
        <w:t xml:space="preserve">Justice System Journal </w:t>
      </w:r>
      <w:r>
        <w:t>37: 211-231.</w:t>
      </w:r>
    </w:p>
    <w:p w14:paraId="42DD2FC6" w14:textId="1509111B" w:rsidR="00705D54" w:rsidRPr="00705D54" w:rsidRDefault="00705D54" w:rsidP="00534DE2">
      <w:pPr>
        <w:spacing w:line="480" w:lineRule="auto"/>
      </w:pPr>
      <w:r>
        <w:t xml:space="preserve">Noonan, Mary C. and Mary E. Corcoran. 2004. “The Mommy Track and Partnership: Temporary Delay or Dead End?” </w:t>
      </w:r>
      <w:r>
        <w:rPr>
          <w:i/>
          <w:iCs/>
        </w:rPr>
        <w:t xml:space="preserve">The Annals of the American Academy of Political and Social Science </w:t>
      </w:r>
      <w:r>
        <w:t>596: 130-150.</w:t>
      </w:r>
    </w:p>
    <w:p w14:paraId="4531B0C0" w14:textId="1E51CAC8" w:rsidR="00442C14" w:rsidRDefault="00442C14" w:rsidP="00534DE2">
      <w:pPr>
        <w:spacing w:line="480" w:lineRule="auto"/>
      </w:pPr>
      <w:r>
        <w:t xml:space="preserve">Olson, Craig A. and Brian E. Becker. 1983. “Sex Discrimination in the Promotion Process.” </w:t>
      </w:r>
      <w:r>
        <w:rPr>
          <w:i/>
        </w:rPr>
        <w:t xml:space="preserve">ILR Review </w:t>
      </w:r>
      <w:r>
        <w:t>36: 624-641.</w:t>
      </w:r>
    </w:p>
    <w:p w14:paraId="7C240BC5" w14:textId="578AE67E" w:rsidR="00442C14" w:rsidRDefault="00442C14" w:rsidP="00534DE2">
      <w:pPr>
        <w:spacing w:line="480" w:lineRule="auto"/>
      </w:pPr>
      <w:r>
        <w:t xml:space="preserve">Perry, H.W. 1998. “United States Attorneys—Whom Shall They Serve?” </w:t>
      </w:r>
      <w:r>
        <w:rPr>
          <w:i/>
        </w:rPr>
        <w:t xml:space="preserve">Law &amp; Contemporary Problems </w:t>
      </w:r>
      <w:r>
        <w:t>61: 129-148.</w:t>
      </w:r>
    </w:p>
    <w:p w14:paraId="79EC30B8" w14:textId="7515F57B" w:rsidR="00442C14" w:rsidRPr="00442C14" w:rsidRDefault="00442C14" w:rsidP="00534DE2">
      <w:pPr>
        <w:spacing w:line="480" w:lineRule="auto"/>
      </w:pPr>
      <w:proofErr w:type="spellStart"/>
      <w:r>
        <w:t>Riccucci</w:t>
      </w:r>
      <w:proofErr w:type="spellEnd"/>
      <w:r>
        <w:t xml:space="preserve">, Norma M., Gregg G. Van </w:t>
      </w:r>
      <w:proofErr w:type="spellStart"/>
      <w:r>
        <w:t>Ryzin</w:t>
      </w:r>
      <w:proofErr w:type="spellEnd"/>
      <w:r>
        <w:t xml:space="preserve">, and Cecilia F. </w:t>
      </w:r>
      <w:proofErr w:type="spellStart"/>
      <w:r>
        <w:t>Lavena</w:t>
      </w:r>
      <w:proofErr w:type="spellEnd"/>
      <w:r>
        <w:t xml:space="preserve">. 2014. “Representative Bureaucracy in Policing: Does It Increase Perceived Legitimacy?” </w:t>
      </w:r>
      <w:r>
        <w:rPr>
          <w:i/>
        </w:rPr>
        <w:t xml:space="preserve">Journal of Public Administration Research and Theory </w:t>
      </w:r>
      <w:r>
        <w:t>24: 537-551.</w:t>
      </w:r>
    </w:p>
    <w:p w14:paraId="3BD258A1" w14:textId="13C56255" w:rsidR="00442C14" w:rsidRDefault="00442C14" w:rsidP="00534DE2">
      <w:pPr>
        <w:spacing w:line="480" w:lineRule="auto"/>
      </w:pPr>
      <w:r>
        <w:t xml:space="preserve">Richman, Daniel C. 2003. “Prosecutors and Their Agents, Agents and Their Prosecutors.” </w:t>
      </w:r>
      <w:r>
        <w:rPr>
          <w:i/>
        </w:rPr>
        <w:t xml:space="preserve">Columbia Law Review </w:t>
      </w:r>
      <w:r>
        <w:t>103: 749-832.</w:t>
      </w:r>
    </w:p>
    <w:p w14:paraId="165A1D77" w14:textId="37D1F109" w:rsidR="00B07673" w:rsidRPr="00B07673" w:rsidRDefault="00B07673" w:rsidP="00534DE2">
      <w:pPr>
        <w:spacing w:line="480" w:lineRule="auto"/>
      </w:pPr>
      <w:proofErr w:type="spellStart"/>
      <w:r>
        <w:t>Rutkis</w:t>
      </w:r>
      <w:proofErr w:type="spellEnd"/>
      <w:r>
        <w:t>, Denis Steven. 2013. “Role of Home State Senators in the Selection of Lower Federal Court Judges.” Washington, DC: Congressional Research Service.</w:t>
      </w:r>
    </w:p>
    <w:p w14:paraId="0E8DAEE8" w14:textId="28900DFC" w:rsidR="00442C14" w:rsidRDefault="00442C14" w:rsidP="00534DE2">
      <w:pPr>
        <w:spacing w:line="480" w:lineRule="auto"/>
      </w:pPr>
      <w:r>
        <w:lastRenderedPageBreak/>
        <w:t xml:space="preserve">Scherer, Nancy. 2005. </w:t>
      </w:r>
      <w:r>
        <w:rPr>
          <w:i/>
        </w:rPr>
        <w:t>Scoring Points: Politicians, Activists, and the Lower Federal Court Appointment Process</w:t>
      </w:r>
      <w:r>
        <w:t>. Palo Alto, CA: Stanford University Press.</w:t>
      </w:r>
    </w:p>
    <w:p w14:paraId="3975320C" w14:textId="4EF3A15F" w:rsidR="00442C14" w:rsidRDefault="00442C14" w:rsidP="00534DE2">
      <w:pPr>
        <w:spacing w:line="480" w:lineRule="auto"/>
      </w:pPr>
      <w:r>
        <w:t xml:space="preserve">Scherer, Nancy and Brett Curry. 2010. “Does Descriptive Representation Enhance Institutional Legitimacy? The Case of the Federal Courts.” </w:t>
      </w:r>
      <w:r>
        <w:rPr>
          <w:i/>
        </w:rPr>
        <w:t xml:space="preserve">Journal of Politics </w:t>
      </w:r>
      <w:r>
        <w:t>72: 90-104.</w:t>
      </w:r>
    </w:p>
    <w:p w14:paraId="7382870F" w14:textId="64645C00" w:rsidR="00442C14" w:rsidRDefault="00442C14" w:rsidP="00534DE2">
      <w:pPr>
        <w:spacing w:line="480" w:lineRule="auto"/>
      </w:pPr>
      <w:r>
        <w:t>Scott, Kevin</w:t>
      </w:r>
      <w:r w:rsidR="0003696C">
        <w:t xml:space="preserve"> M. 2007. </w:t>
      </w:r>
      <w:r w:rsidR="00055737">
        <w:t>“U.S. Attorneys Who Have Served Less Than Full Four-year Terms, 1981-2006.” Washington, D.C.: Congressional Research Service.</w:t>
      </w:r>
    </w:p>
    <w:p w14:paraId="792A59D7" w14:textId="798AB7B5" w:rsidR="004512BF" w:rsidRPr="004512BF" w:rsidRDefault="004512BF" w:rsidP="00534DE2">
      <w:pPr>
        <w:spacing w:line="480" w:lineRule="auto"/>
      </w:pPr>
      <w:r>
        <w:t xml:space="preserve">Selden, Sally C. 1997. </w:t>
      </w:r>
      <w:r>
        <w:rPr>
          <w:i/>
        </w:rPr>
        <w:t xml:space="preserve">The Promise of a Representative Bureaucracy: Diversity and Responsiveness in a Government Agency. </w:t>
      </w:r>
      <w:r>
        <w:t>Armonk, NY: M.E. Sharpe.</w:t>
      </w:r>
    </w:p>
    <w:p w14:paraId="387898FD" w14:textId="49A04C22" w:rsidR="00055737" w:rsidRDefault="00055737" w:rsidP="00534DE2">
      <w:pPr>
        <w:spacing w:line="480" w:lineRule="auto"/>
      </w:pPr>
      <w:r>
        <w:t xml:space="preserve">Shermer, Lauren O’Neill and Brian D. Johnson. 2010. “Criminal Prosecutions: Examining Prosecutorial Discretion and Charge Reductions in U.S. Federal District Courts.” </w:t>
      </w:r>
      <w:r>
        <w:rPr>
          <w:i/>
        </w:rPr>
        <w:t xml:space="preserve">Justice Quarterly </w:t>
      </w:r>
      <w:r>
        <w:t>27: 394-430.</w:t>
      </w:r>
    </w:p>
    <w:p w14:paraId="25959E14" w14:textId="16F89AF6" w:rsidR="00055737" w:rsidRDefault="00055737" w:rsidP="00534DE2">
      <w:pPr>
        <w:spacing w:line="480" w:lineRule="auto"/>
      </w:pPr>
      <w:proofErr w:type="spellStart"/>
      <w:r>
        <w:t>Slotnick</w:t>
      </w:r>
      <w:proofErr w:type="spellEnd"/>
      <w:r>
        <w:t xml:space="preserve">, Elliot, Sara </w:t>
      </w:r>
      <w:proofErr w:type="spellStart"/>
      <w:r>
        <w:t>Schiavoni</w:t>
      </w:r>
      <w:proofErr w:type="spellEnd"/>
      <w:r>
        <w:t xml:space="preserve">, and Sheldon Goldman. 2017. “Obama’s Judicial Legacy: The Final Chapter.” </w:t>
      </w:r>
      <w:r>
        <w:rPr>
          <w:i/>
        </w:rPr>
        <w:t xml:space="preserve">Journal of Law and Courts </w:t>
      </w:r>
      <w:r>
        <w:t>5: 363-422.</w:t>
      </w:r>
    </w:p>
    <w:p w14:paraId="5A5D7B80" w14:textId="6DE2D6CE" w:rsidR="00055737" w:rsidRDefault="00055737" w:rsidP="00534DE2">
      <w:pPr>
        <w:spacing w:line="480" w:lineRule="auto"/>
      </w:pPr>
      <w:r>
        <w:t xml:space="preserve">Smith, Ryan A. 2005. “Do the Determinants of Promotion Differ for White Men Versus Women and Minorities? An Exploration of </w:t>
      </w:r>
      <w:proofErr w:type="spellStart"/>
      <w:r>
        <w:t>Intersectionalism</w:t>
      </w:r>
      <w:proofErr w:type="spellEnd"/>
      <w:r>
        <w:t xml:space="preserve"> Through Sponsored and Contest Mobility Processes.” </w:t>
      </w:r>
      <w:r>
        <w:rPr>
          <w:i/>
        </w:rPr>
        <w:t xml:space="preserve">American Behavioral Scientist </w:t>
      </w:r>
      <w:r>
        <w:t>48: 1157-1181.</w:t>
      </w:r>
    </w:p>
    <w:p w14:paraId="782B8101" w14:textId="4FADEBA4" w:rsidR="00055737" w:rsidRDefault="00055737" w:rsidP="00534DE2">
      <w:pPr>
        <w:spacing w:line="480" w:lineRule="auto"/>
      </w:pPr>
      <w:r>
        <w:t xml:space="preserve">Sowa, Jessica E. and Sally Coleman Selden. 2003. “Administrative Discretion and Active Representation: An Expansion of the Theory of Representative Bureaucracy.” </w:t>
      </w:r>
      <w:r>
        <w:rPr>
          <w:i/>
        </w:rPr>
        <w:t xml:space="preserve">Public Administration Review </w:t>
      </w:r>
      <w:r>
        <w:t>63: 700-710.</w:t>
      </w:r>
    </w:p>
    <w:p w14:paraId="5E35DC9A" w14:textId="2A48A62F" w:rsidR="00B41811" w:rsidRPr="00B41811" w:rsidRDefault="00B41811" w:rsidP="00534DE2">
      <w:pPr>
        <w:spacing w:line="480" w:lineRule="auto"/>
      </w:pPr>
      <w:r>
        <w:t xml:space="preserve">Spill Solberg, </w:t>
      </w:r>
      <w:proofErr w:type="spellStart"/>
      <w:r>
        <w:t>Rorie</w:t>
      </w:r>
      <w:proofErr w:type="spellEnd"/>
      <w:r>
        <w:t xml:space="preserve"> and Kathl</w:t>
      </w:r>
      <w:r w:rsidR="000E1BF0">
        <w:t>e</w:t>
      </w:r>
      <w:r>
        <w:t xml:space="preserve">en A. Bratton. 2005. “Diversifying the Federal Bench: Presidential Patterns. </w:t>
      </w:r>
      <w:r>
        <w:rPr>
          <w:i/>
        </w:rPr>
        <w:t xml:space="preserve">Justice System Journal </w:t>
      </w:r>
      <w:r>
        <w:t>26: 119-133.</w:t>
      </w:r>
    </w:p>
    <w:p w14:paraId="671DDBFE" w14:textId="74A0FC64" w:rsidR="00055737" w:rsidRPr="002B4121" w:rsidRDefault="00055737" w:rsidP="00534DE2">
      <w:pPr>
        <w:spacing w:line="480" w:lineRule="auto"/>
      </w:pPr>
      <w:r>
        <w:t xml:space="preserve">Weiser, Benjamin. 2009. “A </w:t>
      </w:r>
      <w:r w:rsidRPr="00E63CF2">
        <w:t>Steppingstone for Law</w:t>
      </w:r>
      <w:r w:rsidRPr="002B4121">
        <w:t xml:space="preserve">’s Best and Brightest.” </w:t>
      </w:r>
      <w:r w:rsidRPr="002B4121">
        <w:rPr>
          <w:i/>
        </w:rPr>
        <w:t xml:space="preserve">New York Times, </w:t>
      </w:r>
      <w:r w:rsidRPr="002B4121">
        <w:t>29 Jan.</w:t>
      </w:r>
    </w:p>
    <w:p w14:paraId="5EFF7D5D" w14:textId="1709B28B" w:rsidR="00055737" w:rsidRPr="002B4121" w:rsidRDefault="00055737" w:rsidP="00534DE2">
      <w:pPr>
        <w:spacing w:line="480" w:lineRule="auto"/>
      </w:pPr>
      <w:r w:rsidRPr="002B4121">
        <w:lastRenderedPageBreak/>
        <w:t xml:space="preserve">Wheeler, Russell. 2009. </w:t>
      </w:r>
      <w:r w:rsidRPr="002B4121">
        <w:rPr>
          <w:i/>
        </w:rPr>
        <w:t xml:space="preserve">The Changing Face of the Federal Judiciary. </w:t>
      </w:r>
      <w:r w:rsidRPr="002B4121">
        <w:t xml:space="preserve">Washington, D.C.: Brookings </w:t>
      </w:r>
      <w:r w:rsidR="000E1BF0">
        <w:t>Institution</w:t>
      </w:r>
      <w:r w:rsidR="000E1BF0" w:rsidRPr="002B4121">
        <w:t xml:space="preserve"> </w:t>
      </w:r>
      <w:r w:rsidRPr="002B4121">
        <w:t>Press.</w:t>
      </w:r>
    </w:p>
    <w:p w14:paraId="4B627271" w14:textId="4FC32A33" w:rsidR="00055737" w:rsidRDefault="00055737" w:rsidP="00534DE2">
      <w:pPr>
        <w:spacing w:line="480" w:lineRule="auto"/>
      </w:pPr>
      <w:proofErr w:type="spellStart"/>
      <w:r w:rsidRPr="002B4121">
        <w:t>Whitford</w:t>
      </w:r>
      <w:proofErr w:type="spellEnd"/>
      <w:r w:rsidRPr="002B4121">
        <w:t xml:space="preserve">, Andrew B. 2002. “Bureaucratic Discretion, Agency Structure, and Democratic Responsiveness: The Case of the United States Attorneys.” </w:t>
      </w:r>
      <w:r w:rsidRPr="002B4121">
        <w:rPr>
          <w:i/>
        </w:rPr>
        <w:t xml:space="preserve">Journal of Public Administration Research and Theory </w:t>
      </w:r>
      <w:r w:rsidRPr="002B4121">
        <w:t>12: 3-27.</w:t>
      </w:r>
    </w:p>
    <w:p w14:paraId="0D36BCD9" w14:textId="670FFCAC" w:rsidR="007014BE" w:rsidRPr="007014BE" w:rsidRDefault="007014BE" w:rsidP="00534DE2">
      <w:pPr>
        <w:spacing w:line="480" w:lineRule="auto"/>
      </w:pPr>
      <w:r>
        <w:t xml:space="preserve">Williams, Margaret S. 2008. “Ambition, Gender, and the Judiciary.” </w:t>
      </w:r>
      <w:r>
        <w:rPr>
          <w:i/>
          <w:iCs/>
        </w:rPr>
        <w:t xml:space="preserve">Political Research Quarterly </w:t>
      </w:r>
      <w:r>
        <w:t>61: 68-78.</w:t>
      </w:r>
    </w:p>
    <w:p w14:paraId="4124F1B8" w14:textId="4C61DF22" w:rsidR="00055737" w:rsidRPr="002B4121" w:rsidRDefault="00EC37CE" w:rsidP="00534DE2">
      <w:pPr>
        <w:spacing w:line="480" w:lineRule="auto"/>
      </w:pPr>
      <w:r w:rsidRPr="002B4121">
        <w:t xml:space="preserve">Wilson, George. 1997. “Pathways to Power: Racial Differences in the Determinants of Job Authority.” </w:t>
      </w:r>
      <w:r w:rsidRPr="002B4121">
        <w:rPr>
          <w:i/>
        </w:rPr>
        <w:t xml:space="preserve">Social Problems </w:t>
      </w:r>
      <w:r w:rsidRPr="00E63CF2">
        <w:t>44: 38</w:t>
      </w:r>
      <w:r w:rsidRPr="002B4121">
        <w:t>-54.</w:t>
      </w:r>
    </w:p>
    <w:p w14:paraId="61BA054C" w14:textId="0D12431F" w:rsidR="00EC37CE" w:rsidRPr="002B4121" w:rsidRDefault="00EC37CE" w:rsidP="00534DE2">
      <w:pPr>
        <w:spacing w:line="480" w:lineRule="auto"/>
      </w:pPr>
      <w:r w:rsidRPr="002B4121">
        <w:t>Wilson, George, Ian Sakura-</w:t>
      </w:r>
      <w:proofErr w:type="spellStart"/>
      <w:r w:rsidRPr="002B4121">
        <w:t>Lemessy</w:t>
      </w:r>
      <w:proofErr w:type="spellEnd"/>
      <w:r w:rsidRPr="002B4121">
        <w:t xml:space="preserve">, and Jonathan P. West. 1999. “Reaching the Top: Racial Differences in Mobility Paths to Upper-Tier Occupations.” </w:t>
      </w:r>
      <w:r w:rsidRPr="002B4121">
        <w:rPr>
          <w:i/>
        </w:rPr>
        <w:t xml:space="preserve">Work and Occupations </w:t>
      </w:r>
      <w:r w:rsidRPr="002B4121">
        <w:t>26: 165-186.</w:t>
      </w:r>
    </w:p>
    <w:p w14:paraId="10A5A759" w14:textId="2368F0EA" w:rsidR="00EC37CE" w:rsidRPr="002B4121" w:rsidRDefault="00EC37CE" w:rsidP="00534DE2">
      <w:pPr>
        <w:spacing w:line="480" w:lineRule="auto"/>
      </w:pPr>
      <w:r w:rsidRPr="002B4121">
        <w:t xml:space="preserve">Wolf, Wendy C. and Neil D. </w:t>
      </w:r>
      <w:proofErr w:type="spellStart"/>
      <w:r w:rsidRPr="002B4121">
        <w:t>Fligstein</w:t>
      </w:r>
      <w:proofErr w:type="spellEnd"/>
      <w:r w:rsidRPr="002B4121">
        <w:t xml:space="preserve">. 1979. “Sexual Stratification: Differences in Power in the Work Setting.” </w:t>
      </w:r>
      <w:r w:rsidRPr="002B4121">
        <w:rPr>
          <w:i/>
        </w:rPr>
        <w:t xml:space="preserve">Social Forces </w:t>
      </w:r>
      <w:r w:rsidRPr="002B4121">
        <w:t>58: 94-107.</w:t>
      </w:r>
    </w:p>
    <w:p w14:paraId="0BEF0D5D" w14:textId="77777777" w:rsidR="00EC37CE" w:rsidRPr="002B4121" w:rsidRDefault="00EC37CE" w:rsidP="00534DE2">
      <w:pPr>
        <w:spacing w:line="480" w:lineRule="auto"/>
      </w:pPr>
    </w:p>
    <w:p w14:paraId="2D094438" w14:textId="77777777" w:rsidR="00442C14" w:rsidRPr="002B4121" w:rsidRDefault="00442C14" w:rsidP="00534DE2">
      <w:pPr>
        <w:spacing w:line="480" w:lineRule="auto"/>
      </w:pPr>
    </w:p>
    <w:p w14:paraId="1C8BD13B" w14:textId="23BB2DB1" w:rsidR="003E1F49" w:rsidRDefault="003E1F49" w:rsidP="002B4121">
      <w:pPr>
        <w:jc w:val="both"/>
      </w:pPr>
    </w:p>
    <w:p w14:paraId="7BDA7A7C" w14:textId="77777777" w:rsidR="00026979" w:rsidRDefault="00026979" w:rsidP="002B4121">
      <w:pPr>
        <w:jc w:val="both"/>
      </w:pPr>
    </w:p>
    <w:p w14:paraId="0799EC33" w14:textId="6A134ED1" w:rsidR="00026979" w:rsidRDefault="00026979" w:rsidP="002B4121">
      <w:pPr>
        <w:jc w:val="both"/>
      </w:pPr>
    </w:p>
    <w:p w14:paraId="01C39D58" w14:textId="4877DE48" w:rsidR="000E1BF0" w:rsidRDefault="000E1BF0" w:rsidP="002B4121">
      <w:pPr>
        <w:jc w:val="both"/>
      </w:pPr>
    </w:p>
    <w:p w14:paraId="73BDB6A8" w14:textId="172655CB" w:rsidR="000E1BF0" w:rsidRDefault="000E1BF0" w:rsidP="002B4121">
      <w:pPr>
        <w:jc w:val="both"/>
      </w:pPr>
    </w:p>
    <w:p w14:paraId="34B5FB6D" w14:textId="447B64A8" w:rsidR="00C42E8A" w:rsidRDefault="00C42E8A" w:rsidP="002B4121">
      <w:pPr>
        <w:jc w:val="both"/>
      </w:pPr>
    </w:p>
    <w:p w14:paraId="4CD155A0" w14:textId="15CEB7BD" w:rsidR="00C42E8A" w:rsidRDefault="00C42E8A" w:rsidP="002B4121">
      <w:pPr>
        <w:jc w:val="both"/>
      </w:pPr>
    </w:p>
    <w:p w14:paraId="366B949E" w14:textId="58314BC3" w:rsidR="00C42E8A" w:rsidRDefault="00C42E8A" w:rsidP="002B4121">
      <w:pPr>
        <w:jc w:val="both"/>
      </w:pPr>
    </w:p>
    <w:p w14:paraId="763453EC" w14:textId="50848E01" w:rsidR="00C42E8A" w:rsidRDefault="00C42E8A" w:rsidP="002B4121">
      <w:pPr>
        <w:jc w:val="both"/>
      </w:pPr>
    </w:p>
    <w:p w14:paraId="08488D37" w14:textId="625E2A14" w:rsidR="00C42E8A" w:rsidRDefault="00C42E8A" w:rsidP="002B4121">
      <w:pPr>
        <w:jc w:val="both"/>
      </w:pPr>
    </w:p>
    <w:p w14:paraId="51813CD2" w14:textId="66073248" w:rsidR="00C42E8A" w:rsidRDefault="00C42E8A" w:rsidP="002B4121">
      <w:pPr>
        <w:jc w:val="both"/>
      </w:pPr>
    </w:p>
    <w:p w14:paraId="3D20E6DF" w14:textId="3245D660" w:rsidR="00C42E8A" w:rsidRDefault="00C42E8A" w:rsidP="002B4121">
      <w:pPr>
        <w:jc w:val="both"/>
      </w:pPr>
    </w:p>
    <w:p w14:paraId="3C3DE0CA" w14:textId="2CE57CE7" w:rsidR="00C42E8A" w:rsidRDefault="00C42E8A" w:rsidP="002B4121">
      <w:pPr>
        <w:jc w:val="both"/>
      </w:pPr>
    </w:p>
    <w:p w14:paraId="7AF56362" w14:textId="32F2B305" w:rsidR="00C42E8A" w:rsidRDefault="00C42E8A" w:rsidP="002B4121">
      <w:pPr>
        <w:jc w:val="both"/>
      </w:pPr>
    </w:p>
    <w:p w14:paraId="23CA8994" w14:textId="2C0CC689" w:rsidR="00C42E8A" w:rsidRDefault="00C42E8A" w:rsidP="002B4121">
      <w:pPr>
        <w:jc w:val="both"/>
      </w:pPr>
    </w:p>
    <w:p w14:paraId="01295276" w14:textId="77777777" w:rsidR="00C42E8A" w:rsidRDefault="00C42E8A" w:rsidP="002B4121">
      <w:pPr>
        <w:jc w:val="both"/>
      </w:pPr>
    </w:p>
    <w:p w14:paraId="27270A4C" w14:textId="759209DE" w:rsidR="002D05FE" w:rsidRDefault="008B1672" w:rsidP="008301D3">
      <w:pPr>
        <w:jc w:val="center"/>
        <w:rPr>
          <w:b/>
          <w:bCs/>
        </w:rPr>
      </w:pPr>
      <w:r>
        <w:rPr>
          <w:b/>
          <w:bCs/>
        </w:rPr>
        <w:t>Table 1: Descriptive Statistics</w:t>
      </w:r>
    </w:p>
    <w:tbl>
      <w:tblPr>
        <w:tblW w:w="6420" w:type="dxa"/>
        <w:jc w:val="center"/>
        <w:tblLook w:val="04A0" w:firstRow="1" w:lastRow="0" w:firstColumn="1" w:lastColumn="0" w:noHBand="0" w:noVBand="1"/>
      </w:tblPr>
      <w:tblGrid>
        <w:gridCol w:w="2580"/>
        <w:gridCol w:w="960"/>
        <w:gridCol w:w="1230"/>
        <w:gridCol w:w="703"/>
        <w:gridCol w:w="960"/>
      </w:tblGrid>
      <w:tr w:rsidR="008301D3" w:rsidRPr="008301D3" w14:paraId="32080A16" w14:textId="77777777" w:rsidTr="008301D3">
        <w:trPr>
          <w:trHeight w:val="330"/>
          <w:jc w:val="center"/>
        </w:trPr>
        <w:tc>
          <w:tcPr>
            <w:tcW w:w="2580" w:type="dxa"/>
            <w:tcBorders>
              <w:top w:val="single" w:sz="8" w:space="0" w:color="auto"/>
              <w:left w:val="nil"/>
              <w:bottom w:val="single" w:sz="8" w:space="0" w:color="auto"/>
              <w:right w:val="nil"/>
            </w:tcBorders>
            <w:shd w:val="clear" w:color="auto" w:fill="auto"/>
            <w:noWrap/>
            <w:vAlign w:val="center"/>
            <w:hideMark/>
          </w:tcPr>
          <w:p w14:paraId="6EE9B841" w14:textId="77777777" w:rsidR="008301D3" w:rsidRPr="008301D3" w:rsidRDefault="008301D3" w:rsidP="008301D3">
            <w:pPr>
              <w:spacing w:line="240" w:lineRule="auto"/>
              <w:rPr>
                <w:rFonts w:eastAsia="Times New Roman"/>
                <w:b/>
                <w:bCs/>
                <w:color w:val="000000"/>
              </w:rPr>
            </w:pPr>
            <w:r w:rsidRPr="008301D3">
              <w:rPr>
                <w:rFonts w:eastAsia="Times New Roman"/>
                <w:b/>
                <w:bCs/>
                <w:color w:val="000000"/>
              </w:rPr>
              <w:t>Variable</w:t>
            </w:r>
          </w:p>
        </w:tc>
        <w:tc>
          <w:tcPr>
            <w:tcW w:w="960" w:type="dxa"/>
            <w:tcBorders>
              <w:top w:val="single" w:sz="8" w:space="0" w:color="auto"/>
              <w:left w:val="nil"/>
              <w:bottom w:val="single" w:sz="8" w:space="0" w:color="auto"/>
              <w:right w:val="nil"/>
            </w:tcBorders>
            <w:shd w:val="clear" w:color="auto" w:fill="auto"/>
            <w:noWrap/>
            <w:vAlign w:val="center"/>
            <w:hideMark/>
          </w:tcPr>
          <w:p w14:paraId="174E8ACE" w14:textId="77777777" w:rsidR="008301D3" w:rsidRPr="008301D3" w:rsidRDefault="008301D3" w:rsidP="008301D3">
            <w:pPr>
              <w:spacing w:line="240" w:lineRule="auto"/>
              <w:jc w:val="center"/>
              <w:rPr>
                <w:rFonts w:eastAsia="Times New Roman"/>
                <w:b/>
                <w:bCs/>
                <w:color w:val="000000"/>
              </w:rPr>
            </w:pPr>
            <w:r w:rsidRPr="008301D3">
              <w:rPr>
                <w:rFonts w:eastAsia="Times New Roman"/>
                <w:b/>
                <w:bCs/>
                <w:color w:val="000000"/>
              </w:rPr>
              <w:t>Mean</w:t>
            </w:r>
          </w:p>
        </w:tc>
        <w:tc>
          <w:tcPr>
            <w:tcW w:w="1230" w:type="dxa"/>
            <w:tcBorders>
              <w:top w:val="single" w:sz="8" w:space="0" w:color="auto"/>
              <w:left w:val="nil"/>
              <w:bottom w:val="single" w:sz="8" w:space="0" w:color="auto"/>
              <w:right w:val="nil"/>
            </w:tcBorders>
            <w:shd w:val="clear" w:color="auto" w:fill="auto"/>
            <w:noWrap/>
            <w:vAlign w:val="center"/>
            <w:hideMark/>
          </w:tcPr>
          <w:p w14:paraId="3B2FB79C" w14:textId="77777777" w:rsidR="008301D3" w:rsidRPr="008301D3" w:rsidRDefault="008301D3" w:rsidP="008301D3">
            <w:pPr>
              <w:spacing w:line="240" w:lineRule="auto"/>
              <w:jc w:val="center"/>
              <w:rPr>
                <w:rFonts w:eastAsia="Times New Roman"/>
                <w:b/>
                <w:bCs/>
                <w:color w:val="000000"/>
              </w:rPr>
            </w:pPr>
            <w:r w:rsidRPr="008301D3">
              <w:rPr>
                <w:rFonts w:eastAsia="Times New Roman"/>
                <w:b/>
                <w:bCs/>
                <w:color w:val="000000"/>
              </w:rPr>
              <w:t>Std. Dev.</w:t>
            </w:r>
          </w:p>
        </w:tc>
        <w:tc>
          <w:tcPr>
            <w:tcW w:w="690" w:type="dxa"/>
            <w:tcBorders>
              <w:top w:val="single" w:sz="8" w:space="0" w:color="auto"/>
              <w:left w:val="nil"/>
              <w:bottom w:val="single" w:sz="8" w:space="0" w:color="auto"/>
              <w:right w:val="nil"/>
            </w:tcBorders>
            <w:shd w:val="clear" w:color="auto" w:fill="auto"/>
            <w:noWrap/>
            <w:vAlign w:val="center"/>
            <w:hideMark/>
          </w:tcPr>
          <w:p w14:paraId="30A3AD0C" w14:textId="77777777" w:rsidR="008301D3" w:rsidRPr="008301D3" w:rsidRDefault="008301D3" w:rsidP="008301D3">
            <w:pPr>
              <w:spacing w:line="240" w:lineRule="auto"/>
              <w:jc w:val="center"/>
              <w:rPr>
                <w:rFonts w:eastAsia="Times New Roman"/>
                <w:b/>
                <w:bCs/>
                <w:color w:val="000000"/>
              </w:rPr>
            </w:pPr>
            <w:r w:rsidRPr="008301D3">
              <w:rPr>
                <w:rFonts w:eastAsia="Times New Roman"/>
                <w:b/>
                <w:bCs/>
                <w:color w:val="000000"/>
              </w:rPr>
              <w:t>Min.</w:t>
            </w:r>
          </w:p>
        </w:tc>
        <w:tc>
          <w:tcPr>
            <w:tcW w:w="960" w:type="dxa"/>
            <w:tcBorders>
              <w:top w:val="single" w:sz="8" w:space="0" w:color="auto"/>
              <w:left w:val="nil"/>
              <w:bottom w:val="single" w:sz="8" w:space="0" w:color="auto"/>
              <w:right w:val="nil"/>
            </w:tcBorders>
            <w:shd w:val="clear" w:color="auto" w:fill="auto"/>
            <w:noWrap/>
            <w:vAlign w:val="center"/>
            <w:hideMark/>
          </w:tcPr>
          <w:p w14:paraId="123262E1" w14:textId="77777777" w:rsidR="008301D3" w:rsidRPr="008301D3" w:rsidRDefault="008301D3" w:rsidP="008301D3">
            <w:pPr>
              <w:spacing w:line="240" w:lineRule="auto"/>
              <w:jc w:val="center"/>
              <w:rPr>
                <w:rFonts w:eastAsia="Times New Roman"/>
                <w:b/>
                <w:bCs/>
                <w:color w:val="000000"/>
              </w:rPr>
            </w:pPr>
            <w:r w:rsidRPr="008301D3">
              <w:rPr>
                <w:rFonts w:eastAsia="Times New Roman"/>
                <w:b/>
                <w:bCs/>
                <w:color w:val="000000"/>
              </w:rPr>
              <w:t>Max</w:t>
            </w:r>
          </w:p>
        </w:tc>
      </w:tr>
      <w:tr w:rsidR="008301D3" w:rsidRPr="008301D3" w14:paraId="65007146"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7977B83E" w14:textId="77777777" w:rsidR="008301D3" w:rsidRPr="008301D3" w:rsidRDefault="008301D3" w:rsidP="008301D3">
            <w:pPr>
              <w:spacing w:line="240" w:lineRule="auto"/>
              <w:rPr>
                <w:rFonts w:eastAsia="Times New Roman"/>
                <w:color w:val="000000"/>
              </w:rPr>
            </w:pPr>
            <w:r w:rsidRPr="008301D3">
              <w:rPr>
                <w:rFonts w:eastAsia="Times New Roman"/>
                <w:color w:val="000000"/>
              </w:rPr>
              <w:t>Federal Bureaucracy</w:t>
            </w:r>
          </w:p>
        </w:tc>
        <w:tc>
          <w:tcPr>
            <w:tcW w:w="960" w:type="dxa"/>
            <w:tcBorders>
              <w:top w:val="nil"/>
              <w:left w:val="nil"/>
              <w:bottom w:val="nil"/>
              <w:right w:val="nil"/>
            </w:tcBorders>
            <w:shd w:val="clear" w:color="auto" w:fill="auto"/>
            <w:noWrap/>
            <w:vAlign w:val="center"/>
            <w:hideMark/>
          </w:tcPr>
          <w:p w14:paraId="00E422F4"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0.08</w:t>
            </w:r>
          </w:p>
        </w:tc>
        <w:tc>
          <w:tcPr>
            <w:tcW w:w="1230" w:type="dxa"/>
            <w:tcBorders>
              <w:top w:val="nil"/>
              <w:left w:val="nil"/>
              <w:bottom w:val="nil"/>
              <w:right w:val="nil"/>
            </w:tcBorders>
            <w:shd w:val="clear" w:color="auto" w:fill="auto"/>
            <w:noWrap/>
            <w:vAlign w:val="center"/>
            <w:hideMark/>
          </w:tcPr>
          <w:p w14:paraId="4B1DAB01"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0.28</w:t>
            </w:r>
          </w:p>
        </w:tc>
        <w:tc>
          <w:tcPr>
            <w:tcW w:w="690" w:type="dxa"/>
            <w:tcBorders>
              <w:top w:val="nil"/>
              <w:left w:val="nil"/>
              <w:bottom w:val="nil"/>
              <w:right w:val="nil"/>
            </w:tcBorders>
            <w:shd w:val="clear" w:color="auto" w:fill="auto"/>
            <w:noWrap/>
            <w:vAlign w:val="center"/>
            <w:hideMark/>
          </w:tcPr>
          <w:p w14:paraId="4C362054"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w:t>
            </w:r>
          </w:p>
        </w:tc>
        <w:tc>
          <w:tcPr>
            <w:tcW w:w="960" w:type="dxa"/>
            <w:tcBorders>
              <w:top w:val="nil"/>
              <w:left w:val="nil"/>
              <w:bottom w:val="nil"/>
              <w:right w:val="nil"/>
            </w:tcBorders>
            <w:shd w:val="clear" w:color="auto" w:fill="auto"/>
            <w:noWrap/>
            <w:vAlign w:val="center"/>
            <w:hideMark/>
          </w:tcPr>
          <w:p w14:paraId="53830916"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w:t>
            </w:r>
          </w:p>
        </w:tc>
      </w:tr>
      <w:tr w:rsidR="008301D3" w:rsidRPr="008301D3" w14:paraId="754C1454"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5D0673ED" w14:textId="77777777" w:rsidR="008301D3" w:rsidRPr="008301D3" w:rsidRDefault="008301D3" w:rsidP="008301D3">
            <w:pPr>
              <w:spacing w:line="240" w:lineRule="auto"/>
              <w:rPr>
                <w:rFonts w:eastAsia="Times New Roman"/>
                <w:color w:val="000000"/>
              </w:rPr>
            </w:pPr>
            <w:r w:rsidRPr="008301D3">
              <w:rPr>
                <w:rFonts w:eastAsia="Times New Roman"/>
                <w:color w:val="000000"/>
              </w:rPr>
              <w:t>Federal Judge</w:t>
            </w:r>
          </w:p>
        </w:tc>
        <w:tc>
          <w:tcPr>
            <w:tcW w:w="960" w:type="dxa"/>
            <w:tcBorders>
              <w:top w:val="nil"/>
              <w:left w:val="nil"/>
              <w:bottom w:val="nil"/>
              <w:right w:val="nil"/>
            </w:tcBorders>
            <w:shd w:val="clear" w:color="auto" w:fill="auto"/>
            <w:noWrap/>
            <w:vAlign w:val="center"/>
            <w:hideMark/>
          </w:tcPr>
          <w:p w14:paraId="5B9A41B5"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0.11</w:t>
            </w:r>
          </w:p>
        </w:tc>
        <w:tc>
          <w:tcPr>
            <w:tcW w:w="1230" w:type="dxa"/>
            <w:tcBorders>
              <w:top w:val="nil"/>
              <w:left w:val="nil"/>
              <w:bottom w:val="nil"/>
              <w:right w:val="nil"/>
            </w:tcBorders>
            <w:shd w:val="clear" w:color="auto" w:fill="auto"/>
            <w:noWrap/>
            <w:vAlign w:val="center"/>
            <w:hideMark/>
          </w:tcPr>
          <w:p w14:paraId="47D7AB33"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0.31</w:t>
            </w:r>
          </w:p>
        </w:tc>
        <w:tc>
          <w:tcPr>
            <w:tcW w:w="690" w:type="dxa"/>
            <w:tcBorders>
              <w:top w:val="nil"/>
              <w:left w:val="nil"/>
              <w:bottom w:val="nil"/>
              <w:right w:val="nil"/>
            </w:tcBorders>
            <w:shd w:val="clear" w:color="auto" w:fill="auto"/>
            <w:noWrap/>
            <w:vAlign w:val="center"/>
            <w:hideMark/>
          </w:tcPr>
          <w:p w14:paraId="37CF9354"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w:t>
            </w:r>
          </w:p>
        </w:tc>
        <w:tc>
          <w:tcPr>
            <w:tcW w:w="960" w:type="dxa"/>
            <w:tcBorders>
              <w:top w:val="nil"/>
              <w:left w:val="nil"/>
              <w:bottom w:val="nil"/>
              <w:right w:val="nil"/>
            </w:tcBorders>
            <w:shd w:val="clear" w:color="auto" w:fill="auto"/>
            <w:noWrap/>
            <w:vAlign w:val="center"/>
            <w:hideMark/>
          </w:tcPr>
          <w:p w14:paraId="3153C227"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w:t>
            </w:r>
          </w:p>
        </w:tc>
      </w:tr>
      <w:tr w:rsidR="008301D3" w:rsidRPr="008301D3" w14:paraId="456DB891"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02B4C345" w14:textId="77777777" w:rsidR="008301D3" w:rsidRPr="008301D3" w:rsidRDefault="008301D3" w:rsidP="008301D3">
            <w:pPr>
              <w:spacing w:line="240" w:lineRule="auto"/>
              <w:rPr>
                <w:rFonts w:eastAsia="Times New Roman"/>
                <w:color w:val="000000"/>
              </w:rPr>
            </w:pPr>
            <w:r w:rsidRPr="008301D3">
              <w:rPr>
                <w:rFonts w:eastAsia="Times New Roman"/>
                <w:color w:val="000000"/>
              </w:rPr>
              <w:t>White Male</w:t>
            </w:r>
          </w:p>
        </w:tc>
        <w:tc>
          <w:tcPr>
            <w:tcW w:w="960" w:type="dxa"/>
            <w:tcBorders>
              <w:top w:val="nil"/>
              <w:left w:val="nil"/>
              <w:bottom w:val="nil"/>
              <w:right w:val="nil"/>
            </w:tcBorders>
            <w:shd w:val="clear" w:color="auto" w:fill="auto"/>
            <w:noWrap/>
            <w:vAlign w:val="center"/>
            <w:hideMark/>
          </w:tcPr>
          <w:p w14:paraId="6BB3DF24"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0.78</w:t>
            </w:r>
          </w:p>
        </w:tc>
        <w:tc>
          <w:tcPr>
            <w:tcW w:w="1230" w:type="dxa"/>
            <w:tcBorders>
              <w:top w:val="nil"/>
              <w:left w:val="nil"/>
              <w:bottom w:val="nil"/>
              <w:right w:val="nil"/>
            </w:tcBorders>
            <w:shd w:val="clear" w:color="auto" w:fill="auto"/>
            <w:noWrap/>
            <w:vAlign w:val="center"/>
            <w:hideMark/>
          </w:tcPr>
          <w:p w14:paraId="6E84674E"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0.42</w:t>
            </w:r>
          </w:p>
        </w:tc>
        <w:tc>
          <w:tcPr>
            <w:tcW w:w="690" w:type="dxa"/>
            <w:tcBorders>
              <w:top w:val="nil"/>
              <w:left w:val="nil"/>
              <w:bottom w:val="nil"/>
              <w:right w:val="nil"/>
            </w:tcBorders>
            <w:shd w:val="clear" w:color="auto" w:fill="auto"/>
            <w:noWrap/>
            <w:vAlign w:val="center"/>
            <w:hideMark/>
          </w:tcPr>
          <w:p w14:paraId="687C1C96"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w:t>
            </w:r>
          </w:p>
        </w:tc>
        <w:tc>
          <w:tcPr>
            <w:tcW w:w="960" w:type="dxa"/>
            <w:tcBorders>
              <w:top w:val="nil"/>
              <w:left w:val="nil"/>
              <w:bottom w:val="nil"/>
              <w:right w:val="nil"/>
            </w:tcBorders>
            <w:shd w:val="clear" w:color="auto" w:fill="auto"/>
            <w:noWrap/>
            <w:vAlign w:val="center"/>
            <w:hideMark/>
          </w:tcPr>
          <w:p w14:paraId="7C618D11"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w:t>
            </w:r>
          </w:p>
        </w:tc>
      </w:tr>
      <w:tr w:rsidR="008301D3" w:rsidRPr="008301D3" w14:paraId="4472C44F"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1D4E6207" w14:textId="77777777" w:rsidR="008301D3" w:rsidRPr="008301D3" w:rsidRDefault="008301D3" w:rsidP="008301D3">
            <w:pPr>
              <w:spacing w:line="240" w:lineRule="auto"/>
              <w:rPr>
                <w:rFonts w:eastAsia="Times New Roman"/>
                <w:color w:val="000000"/>
              </w:rPr>
            </w:pPr>
            <w:r w:rsidRPr="008301D3">
              <w:rPr>
                <w:rFonts w:eastAsia="Times New Roman"/>
                <w:color w:val="000000"/>
              </w:rPr>
              <w:t>Ideological Distance</w:t>
            </w:r>
          </w:p>
        </w:tc>
        <w:tc>
          <w:tcPr>
            <w:tcW w:w="960" w:type="dxa"/>
            <w:tcBorders>
              <w:top w:val="nil"/>
              <w:left w:val="nil"/>
              <w:bottom w:val="nil"/>
              <w:right w:val="nil"/>
            </w:tcBorders>
            <w:shd w:val="clear" w:color="auto" w:fill="auto"/>
            <w:noWrap/>
            <w:vAlign w:val="center"/>
            <w:hideMark/>
          </w:tcPr>
          <w:p w14:paraId="631367BB"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0.43</w:t>
            </w:r>
          </w:p>
        </w:tc>
        <w:tc>
          <w:tcPr>
            <w:tcW w:w="1230" w:type="dxa"/>
            <w:tcBorders>
              <w:top w:val="nil"/>
              <w:left w:val="nil"/>
              <w:bottom w:val="nil"/>
              <w:right w:val="nil"/>
            </w:tcBorders>
            <w:shd w:val="clear" w:color="auto" w:fill="auto"/>
            <w:noWrap/>
            <w:vAlign w:val="center"/>
            <w:hideMark/>
          </w:tcPr>
          <w:p w14:paraId="7A7F4BD2"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0.33</w:t>
            </w:r>
          </w:p>
        </w:tc>
        <w:tc>
          <w:tcPr>
            <w:tcW w:w="690" w:type="dxa"/>
            <w:tcBorders>
              <w:top w:val="nil"/>
              <w:left w:val="nil"/>
              <w:bottom w:val="nil"/>
              <w:right w:val="nil"/>
            </w:tcBorders>
            <w:shd w:val="clear" w:color="auto" w:fill="auto"/>
            <w:noWrap/>
            <w:vAlign w:val="center"/>
            <w:hideMark/>
          </w:tcPr>
          <w:p w14:paraId="008C9DCC"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w:t>
            </w:r>
          </w:p>
        </w:tc>
        <w:tc>
          <w:tcPr>
            <w:tcW w:w="960" w:type="dxa"/>
            <w:tcBorders>
              <w:top w:val="nil"/>
              <w:left w:val="nil"/>
              <w:bottom w:val="nil"/>
              <w:right w:val="nil"/>
            </w:tcBorders>
            <w:shd w:val="clear" w:color="auto" w:fill="auto"/>
            <w:noWrap/>
            <w:vAlign w:val="center"/>
            <w:hideMark/>
          </w:tcPr>
          <w:p w14:paraId="2D8E3ACE"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w:t>
            </w:r>
          </w:p>
        </w:tc>
      </w:tr>
      <w:tr w:rsidR="008301D3" w:rsidRPr="008301D3" w14:paraId="14C51C45"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01E1D705" w14:textId="77777777" w:rsidR="008301D3" w:rsidRPr="008301D3" w:rsidRDefault="008301D3" w:rsidP="008301D3">
            <w:pPr>
              <w:spacing w:line="240" w:lineRule="auto"/>
              <w:rPr>
                <w:rFonts w:eastAsia="Times New Roman"/>
                <w:color w:val="000000"/>
              </w:rPr>
            </w:pPr>
            <w:r w:rsidRPr="008301D3">
              <w:rPr>
                <w:rFonts w:eastAsia="Times New Roman"/>
                <w:color w:val="000000"/>
              </w:rPr>
              <w:t>Average Filings (</w:t>
            </w:r>
            <w:proofErr w:type="spellStart"/>
            <w:r w:rsidRPr="008301D3">
              <w:rPr>
                <w:rFonts w:eastAsia="Times New Roman"/>
                <w:color w:val="000000"/>
              </w:rPr>
              <w:t>thous</w:t>
            </w:r>
            <w:proofErr w:type="spellEnd"/>
            <w:r w:rsidRPr="008301D3">
              <w:rPr>
                <w:rFonts w:eastAsia="Times New Roman"/>
                <w:color w:val="000000"/>
              </w:rPr>
              <w:t>)</w:t>
            </w:r>
          </w:p>
        </w:tc>
        <w:tc>
          <w:tcPr>
            <w:tcW w:w="960" w:type="dxa"/>
            <w:tcBorders>
              <w:top w:val="nil"/>
              <w:left w:val="nil"/>
              <w:bottom w:val="nil"/>
              <w:right w:val="nil"/>
            </w:tcBorders>
            <w:shd w:val="clear" w:color="auto" w:fill="auto"/>
            <w:noWrap/>
            <w:vAlign w:val="center"/>
            <w:hideMark/>
          </w:tcPr>
          <w:p w14:paraId="50027B2F"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1.24</w:t>
            </w:r>
          </w:p>
        </w:tc>
        <w:tc>
          <w:tcPr>
            <w:tcW w:w="1230" w:type="dxa"/>
            <w:tcBorders>
              <w:top w:val="nil"/>
              <w:left w:val="nil"/>
              <w:bottom w:val="nil"/>
              <w:right w:val="nil"/>
            </w:tcBorders>
            <w:shd w:val="clear" w:color="auto" w:fill="auto"/>
            <w:noWrap/>
            <w:vAlign w:val="center"/>
            <w:hideMark/>
          </w:tcPr>
          <w:p w14:paraId="0A3CA5E7"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2.91</w:t>
            </w:r>
          </w:p>
        </w:tc>
        <w:tc>
          <w:tcPr>
            <w:tcW w:w="690" w:type="dxa"/>
            <w:tcBorders>
              <w:top w:val="nil"/>
              <w:left w:val="nil"/>
              <w:bottom w:val="nil"/>
              <w:right w:val="nil"/>
            </w:tcBorders>
            <w:shd w:val="clear" w:color="auto" w:fill="auto"/>
            <w:noWrap/>
            <w:vAlign w:val="center"/>
            <w:hideMark/>
          </w:tcPr>
          <w:p w14:paraId="53B541A5"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0.05</w:t>
            </w:r>
          </w:p>
        </w:tc>
        <w:tc>
          <w:tcPr>
            <w:tcW w:w="960" w:type="dxa"/>
            <w:tcBorders>
              <w:top w:val="nil"/>
              <w:left w:val="nil"/>
              <w:bottom w:val="nil"/>
              <w:right w:val="nil"/>
            </w:tcBorders>
            <w:shd w:val="clear" w:color="auto" w:fill="auto"/>
            <w:noWrap/>
            <w:vAlign w:val="center"/>
            <w:hideMark/>
          </w:tcPr>
          <w:p w14:paraId="6BA42FA7"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34.77</w:t>
            </w:r>
          </w:p>
        </w:tc>
      </w:tr>
      <w:tr w:rsidR="008301D3" w:rsidRPr="008301D3" w14:paraId="27F106E0"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68DA4D9E" w14:textId="77777777" w:rsidR="008301D3" w:rsidRPr="008301D3" w:rsidRDefault="008301D3" w:rsidP="008301D3">
            <w:pPr>
              <w:spacing w:line="240" w:lineRule="auto"/>
              <w:rPr>
                <w:rFonts w:eastAsia="Times New Roman"/>
                <w:color w:val="000000"/>
              </w:rPr>
            </w:pPr>
            <w:r w:rsidRPr="008301D3">
              <w:rPr>
                <w:rFonts w:eastAsia="Times New Roman"/>
                <w:color w:val="000000"/>
              </w:rPr>
              <w:t>Ct. Workhours (</w:t>
            </w:r>
            <w:proofErr w:type="spellStart"/>
            <w:r w:rsidRPr="008301D3">
              <w:rPr>
                <w:rFonts w:eastAsia="Times New Roman"/>
                <w:color w:val="000000"/>
              </w:rPr>
              <w:t>thous</w:t>
            </w:r>
            <w:proofErr w:type="spellEnd"/>
            <w:r w:rsidRPr="008301D3">
              <w:rPr>
                <w:rFonts w:eastAsia="Times New Roman"/>
                <w:color w:val="000000"/>
              </w:rPr>
              <w:t>)</w:t>
            </w:r>
          </w:p>
        </w:tc>
        <w:tc>
          <w:tcPr>
            <w:tcW w:w="960" w:type="dxa"/>
            <w:tcBorders>
              <w:top w:val="nil"/>
              <w:left w:val="nil"/>
              <w:bottom w:val="nil"/>
              <w:right w:val="nil"/>
            </w:tcBorders>
            <w:shd w:val="clear" w:color="auto" w:fill="auto"/>
            <w:noWrap/>
            <w:vAlign w:val="center"/>
            <w:hideMark/>
          </w:tcPr>
          <w:p w14:paraId="19E09C57"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11.31</w:t>
            </w:r>
          </w:p>
        </w:tc>
        <w:tc>
          <w:tcPr>
            <w:tcW w:w="1230" w:type="dxa"/>
            <w:tcBorders>
              <w:top w:val="nil"/>
              <w:left w:val="nil"/>
              <w:bottom w:val="nil"/>
              <w:right w:val="nil"/>
            </w:tcBorders>
            <w:shd w:val="clear" w:color="auto" w:fill="auto"/>
            <w:noWrap/>
            <w:vAlign w:val="center"/>
            <w:hideMark/>
          </w:tcPr>
          <w:p w14:paraId="58DA6555"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18.11</w:t>
            </w:r>
          </w:p>
        </w:tc>
        <w:tc>
          <w:tcPr>
            <w:tcW w:w="690" w:type="dxa"/>
            <w:tcBorders>
              <w:top w:val="nil"/>
              <w:left w:val="nil"/>
              <w:bottom w:val="nil"/>
              <w:right w:val="nil"/>
            </w:tcBorders>
            <w:shd w:val="clear" w:color="auto" w:fill="auto"/>
            <w:noWrap/>
            <w:vAlign w:val="center"/>
            <w:hideMark/>
          </w:tcPr>
          <w:p w14:paraId="4D6E62C4"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0.86</w:t>
            </w:r>
          </w:p>
        </w:tc>
        <w:tc>
          <w:tcPr>
            <w:tcW w:w="960" w:type="dxa"/>
            <w:tcBorders>
              <w:top w:val="nil"/>
              <w:left w:val="nil"/>
              <w:bottom w:val="nil"/>
              <w:right w:val="nil"/>
            </w:tcBorders>
            <w:shd w:val="clear" w:color="auto" w:fill="auto"/>
            <w:noWrap/>
            <w:vAlign w:val="center"/>
            <w:hideMark/>
          </w:tcPr>
          <w:p w14:paraId="1ECFE0D5"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176.18</w:t>
            </w:r>
          </w:p>
        </w:tc>
      </w:tr>
      <w:tr w:rsidR="008301D3" w:rsidRPr="008301D3" w14:paraId="3EE12C29"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64A17B64" w14:textId="77777777" w:rsidR="008301D3" w:rsidRPr="008301D3" w:rsidRDefault="008301D3" w:rsidP="008301D3">
            <w:pPr>
              <w:spacing w:line="240" w:lineRule="auto"/>
              <w:rPr>
                <w:rFonts w:eastAsia="Times New Roman"/>
                <w:color w:val="000000"/>
              </w:rPr>
            </w:pPr>
            <w:r w:rsidRPr="008301D3">
              <w:rPr>
                <w:rFonts w:eastAsia="Times New Roman"/>
                <w:color w:val="000000"/>
              </w:rPr>
              <w:t>Top 15 Law School</w:t>
            </w:r>
          </w:p>
        </w:tc>
        <w:tc>
          <w:tcPr>
            <w:tcW w:w="960" w:type="dxa"/>
            <w:tcBorders>
              <w:top w:val="nil"/>
              <w:left w:val="nil"/>
              <w:bottom w:val="nil"/>
              <w:right w:val="nil"/>
            </w:tcBorders>
            <w:shd w:val="clear" w:color="auto" w:fill="auto"/>
            <w:noWrap/>
            <w:vAlign w:val="center"/>
            <w:hideMark/>
          </w:tcPr>
          <w:p w14:paraId="22079820"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0.27</w:t>
            </w:r>
          </w:p>
        </w:tc>
        <w:tc>
          <w:tcPr>
            <w:tcW w:w="1230" w:type="dxa"/>
            <w:tcBorders>
              <w:top w:val="nil"/>
              <w:left w:val="nil"/>
              <w:bottom w:val="nil"/>
              <w:right w:val="nil"/>
            </w:tcBorders>
            <w:shd w:val="clear" w:color="auto" w:fill="auto"/>
            <w:noWrap/>
            <w:vAlign w:val="center"/>
            <w:hideMark/>
          </w:tcPr>
          <w:p w14:paraId="1863D394"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0.45</w:t>
            </w:r>
          </w:p>
        </w:tc>
        <w:tc>
          <w:tcPr>
            <w:tcW w:w="690" w:type="dxa"/>
            <w:tcBorders>
              <w:top w:val="nil"/>
              <w:left w:val="nil"/>
              <w:bottom w:val="nil"/>
              <w:right w:val="nil"/>
            </w:tcBorders>
            <w:shd w:val="clear" w:color="auto" w:fill="auto"/>
            <w:noWrap/>
            <w:vAlign w:val="center"/>
            <w:hideMark/>
          </w:tcPr>
          <w:p w14:paraId="48B880F9"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w:t>
            </w:r>
          </w:p>
        </w:tc>
        <w:tc>
          <w:tcPr>
            <w:tcW w:w="960" w:type="dxa"/>
            <w:tcBorders>
              <w:top w:val="nil"/>
              <w:left w:val="nil"/>
              <w:bottom w:val="nil"/>
              <w:right w:val="nil"/>
            </w:tcBorders>
            <w:shd w:val="clear" w:color="auto" w:fill="auto"/>
            <w:noWrap/>
            <w:vAlign w:val="center"/>
            <w:hideMark/>
          </w:tcPr>
          <w:p w14:paraId="6938B0BD"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w:t>
            </w:r>
          </w:p>
        </w:tc>
      </w:tr>
      <w:tr w:rsidR="008301D3" w:rsidRPr="008301D3" w14:paraId="0167B108"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5F67F124" w14:textId="77777777" w:rsidR="008301D3" w:rsidRPr="008301D3" w:rsidRDefault="008301D3" w:rsidP="008301D3">
            <w:pPr>
              <w:spacing w:line="240" w:lineRule="auto"/>
              <w:rPr>
                <w:rFonts w:eastAsia="Times New Roman"/>
                <w:color w:val="000000"/>
              </w:rPr>
            </w:pPr>
            <w:r w:rsidRPr="008301D3">
              <w:rPr>
                <w:rFonts w:eastAsia="Times New Roman"/>
                <w:color w:val="000000"/>
              </w:rPr>
              <w:t>Democratic President</w:t>
            </w:r>
          </w:p>
        </w:tc>
        <w:tc>
          <w:tcPr>
            <w:tcW w:w="960" w:type="dxa"/>
            <w:tcBorders>
              <w:top w:val="nil"/>
              <w:left w:val="nil"/>
              <w:bottom w:val="nil"/>
              <w:right w:val="nil"/>
            </w:tcBorders>
            <w:shd w:val="clear" w:color="auto" w:fill="auto"/>
            <w:noWrap/>
            <w:vAlign w:val="center"/>
            <w:hideMark/>
          </w:tcPr>
          <w:p w14:paraId="319AE086"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0.52</w:t>
            </w:r>
          </w:p>
        </w:tc>
        <w:tc>
          <w:tcPr>
            <w:tcW w:w="1230" w:type="dxa"/>
            <w:tcBorders>
              <w:top w:val="nil"/>
              <w:left w:val="nil"/>
              <w:bottom w:val="nil"/>
              <w:right w:val="nil"/>
            </w:tcBorders>
            <w:shd w:val="clear" w:color="auto" w:fill="auto"/>
            <w:noWrap/>
            <w:vAlign w:val="center"/>
            <w:hideMark/>
          </w:tcPr>
          <w:p w14:paraId="1DA4447B"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0.50</w:t>
            </w:r>
          </w:p>
        </w:tc>
        <w:tc>
          <w:tcPr>
            <w:tcW w:w="690" w:type="dxa"/>
            <w:tcBorders>
              <w:top w:val="nil"/>
              <w:left w:val="nil"/>
              <w:bottom w:val="nil"/>
              <w:right w:val="nil"/>
            </w:tcBorders>
            <w:shd w:val="clear" w:color="auto" w:fill="auto"/>
            <w:noWrap/>
            <w:vAlign w:val="center"/>
            <w:hideMark/>
          </w:tcPr>
          <w:p w14:paraId="41E3E751"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w:t>
            </w:r>
          </w:p>
        </w:tc>
        <w:tc>
          <w:tcPr>
            <w:tcW w:w="960" w:type="dxa"/>
            <w:tcBorders>
              <w:top w:val="nil"/>
              <w:left w:val="nil"/>
              <w:bottom w:val="nil"/>
              <w:right w:val="nil"/>
            </w:tcBorders>
            <w:shd w:val="clear" w:color="auto" w:fill="auto"/>
            <w:noWrap/>
            <w:vAlign w:val="center"/>
            <w:hideMark/>
          </w:tcPr>
          <w:p w14:paraId="5F2DF6F3"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w:t>
            </w:r>
          </w:p>
        </w:tc>
      </w:tr>
      <w:tr w:rsidR="008301D3" w:rsidRPr="008301D3" w14:paraId="0458CB6C"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01FF30D7" w14:textId="77777777" w:rsidR="008301D3" w:rsidRPr="008301D3" w:rsidRDefault="008301D3" w:rsidP="008301D3">
            <w:pPr>
              <w:spacing w:line="240" w:lineRule="auto"/>
              <w:rPr>
                <w:rFonts w:eastAsia="Times New Roman"/>
                <w:color w:val="000000"/>
              </w:rPr>
            </w:pPr>
            <w:r w:rsidRPr="008301D3">
              <w:rPr>
                <w:rFonts w:eastAsia="Times New Roman"/>
                <w:color w:val="000000"/>
              </w:rPr>
              <w:t>Border District</w:t>
            </w:r>
          </w:p>
        </w:tc>
        <w:tc>
          <w:tcPr>
            <w:tcW w:w="960" w:type="dxa"/>
            <w:tcBorders>
              <w:top w:val="nil"/>
              <w:left w:val="nil"/>
              <w:bottom w:val="nil"/>
              <w:right w:val="nil"/>
            </w:tcBorders>
            <w:shd w:val="clear" w:color="auto" w:fill="auto"/>
            <w:noWrap/>
            <w:vAlign w:val="center"/>
            <w:hideMark/>
          </w:tcPr>
          <w:p w14:paraId="36014CAC"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0.06</w:t>
            </w:r>
          </w:p>
        </w:tc>
        <w:tc>
          <w:tcPr>
            <w:tcW w:w="1230" w:type="dxa"/>
            <w:tcBorders>
              <w:top w:val="nil"/>
              <w:left w:val="nil"/>
              <w:bottom w:val="nil"/>
              <w:right w:val="nil"/>
            </w:tcBorders>
            <w:shd w:val="clear" w:color="auto" w:fill="auto"/>
            <w:noWrap/>
            <w:vAlign w:val="center"/>
            <w:hideMark/>
          </w:tcPr>
          <w:p w14:paraId="6AE73A09"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0.24</w:t>
            </w:r>
          </w:p>
        </w:tc>
        <w:tc>
          <w:tcPr>
            <w:tcW w:w="690" w:type="dxa"/>
            <w:tcBorders>
              <w:top w:val="nil"/>
              <w:left w:val="nil"/>
              <w:bottom w:val="nil"/>
              <w:right w:val="nil"/>
            </w:tcBorders>
            <w:shd w:val="clear" w:color="auto" w:fill="auto"/>
            <w:noWrap/>
            <w:vAlign w:val="center"/>
            <w:hideMark/>
          </w:tcPr>
          <w:p w14:paraId="43AA4ACE"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w:t>
            </w:r>
          </w:p>
        </w:tc>
        <w:tc>
          <w:tcPr>
            <w:tcW w:w="960" w:type="dxa"/>
            <w:tcBorders>
              <w:top w:val="nil"/>
              <w:left w:val="nil"/>
              <w:bottom w:val="nil"/>
              <w:right w:val="nil"/>
            </w:tcBorders>
            <w:shd w:val="clear" w:color="auto" w:fill="auto"/>
            <w:noWrap/>
            <w:vAlign w:val="center"/>
            <w:hideMark/>
          </w:tcPr>
          <w:p w14:paraId="77048B16"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w:t>
            </w:r>
          </w:p>
        </w:tc>
      </w:tr>
      <w:tr w:rsidR="008301D3" w:rsidRPr="008301D3" w14:paraId="289C5D69" w14:textId="77777777" w:rsidTr="008301D3">
        <w:trPr>
          <w:trHeight w:val="315"/>
          <w:jc w:val="center"/>
        </w:trPr>
        <w:tc>
          <w:tcPr>
            <w:tcW w:w="2580" w:type="dxa"/>
            <w:tcBorders>
              <w:top w:val="nil"/>
              <w:left w:val="nil"/>
              <w:bottom w:val="nil"/>
              <w:right w:val="nil"/>
            </w:tcBorders>
            <w:shd w:val="clear" w:color="auto" w:fill="auto"/>
            <w:noWrap/>
            <w:vAlign w:val="center"/>
            <w:hideMark/>
          </w:tcPr>
          <w:p w14:paraId="5D80AE99" w14:textId="77777777" w:rsidR="008301D3" w:rsidRPr="008301D3" w:rsidRDefault="008301D3" w:rsidP="008301D3">
            <w:pPr>
              <w:spacing w:line="240" w:lineRule="auto"/>
              <w:rPr>
                <w:rFonts w:eastAsia="Times New Roman"/>
                <w:color w:val="000000"/>
              </w:rPr>
            </w:pPr>
            <w:r w:rsidRPr="008301D3">
              <w:rPr>
                <w:rFonts w:eastAsia="Times New Roman"/>
                <w:color w:val="000000"/>
              </w:rPr>
              <w:t>Transition Year</w:t>
            </w:r>
          </w:p>
        </w:tc>
        <w:tc>
          <w:tcPr>
            <w:tcW w:w="960" w:type="dxa"/>
            <w:tcBorders>
              <w:top w:val="nil"/>
              <w:left w:val="nil"/>
              <w:bottom w:val="nil"/>
              <w:right w:val="nil"/>
            </w:tcBorders>
            <w:shd w:val="clear" w:color="auto" w:fill="auto"/>
            <w:noWrap/>
            <w:vAlign w:val="center"/>
            <w:hideMark/>
          </w:tcPr>
          <w:p w14:paraId="2CB6FE8C"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0.33</w:t>
            </w:r>
          </w:p>
        </w:tc>
        <w:tc>
          <w:tcPr>
            <w:tcW w:w="1230" w:type="dxa"/>
            <w:tcBorders>
              <w:top w:val="nil"/>
              <w:left w:val="nil"/>
              <w:bottom w:val="nil"/>
              <w:right w:val="nil"/>
            </w:tcBorders>
            <w:shd w:val="clear" w:color="auto" w:fill="auto"/>
            <w:noWrap/>
            <w:vAlign w:val="center"/>
            <w:hideMark/>
          </w:tcPr>
          <w:p w14:paraId="035007F8"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0.47</w:t>
            </w:r>
          </w:p>
        </w:tc>
        <w:tc>
          <w:tcPr>
            <w:tcW w:w="690" w:type="dxa"/>
            <w:tcBorders>
              <w:top w:val="nil"/>
              <w:left w:val="nil"/>
              <w:bottom w:val="nil"/>
              <w:right w:val="nil"/>
            </w:tcBorders>
            <w:shd w:val="clear" w:color="auto" w:fill="auto"/>
            <w:noWrap/>
            <w:vAlign w:val="center"/>
            <w:hideMark/>
          </w:tcPr>
          <w:p w14:paraId="304E7708"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w:t>
            </w:r>
          </w:p>
        </w:tc>
        <w:tc>
          <w:tcPr>
            <w:tcW w:w="960" w:type="dxa"/>
            <w:tcBorders>
              <w:top w:val="nil"/>
              <w:left w:val="nil"/>
              <w:bottom w:val="nil"/>
              <w:right w:val="nil"/>
            </w:tcBorders>
            <w:shd w:val="clear" w:color="auto" w:fill="auto"/>
            <w:noWrap/>
            <w:vAlign w:val="center"/>
            <w:hideMark/>
          </w:tcPr>
          <w:p w14:paraId="4D3941C1"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w:t>
            </w:r>
          </w:p>
        </w:tc>
      </w:tr>
      <w:tr w:rsidR="008301D3" w:rsidRPr="008301D3" w14:paraId="784366A5" w14:textId="77777777" w:rsidTr="008301D3">
        <w:trPr>
          <w:trHeight w:val="330"/>
          <w:jc w:val="center"/>
        </w:trPr>
        <w:tc>
          <w:tcPr>
            <w:tcW w:w="2580" w:type="dxa"/>
            <w:tcBorders>
              <w:top w:val="nil"/>
              <w:left w:val="nil"/>
              <w:bottom w:val="single" w:sz="8" w:space="0" w:color="auto"/>
              <w:right w:val="nil"/>
            </w:tcBorders>
            <w:shd w:val="clear" w:color="auto" w:fill="auto"/>
            <w:noWrap/>
            <w:vAlign w:val="center"/>
            <w:hideMark/>
          </w:tcPr>
          <w:p w14:paraId="11B845E3" w14:textId="77777777" w:rsidR="008301D3" w:rsidRPr="008301D3" w:rsidRDefault="008301D3" w:rsidP="008301D3">
            <w:pPr>
              <w:spacing w:line="240" w:lineRule="auto"/>
              <w:rPr>
                <w:rFonts w:eastAsia="Times New Roman"/>
                <w:color w:val="000000"/>
              </w:rPr>
            </w:pPr>
            <w:r w:rsidRPr="008301D3">
              <w:rPr>
                <w:rFonts w:eastAsia="Times New Roman"/>
                <w:color w:val="000000"/>
              </w:rPr>
              <w:t>Year Leaving</w:t>
            </w:r>
          </w:p>
        </w:tc>
        <w:tc>
          <w:tcPr>
            <w:tcW w:w="960" w:type="dxa"/>
            <w:tcBorders>
              <w:top w:val="nil"/>
              <w:left w:val="nil"/>
              <w:bottom w:val="single" w:sz="8" w:space="0" w:color="auto"/>
              <w:right w:val="nil"/>
            </w:tcBorders>
            <w:shd w:val="clear" w:color="auto" w:fill="auto"/>
            <w:noWrap/>
            <w:vAlign w:val="center"/>
            <w:hideMark/>
          </w:tcPr>
          <w:p w14:paraId="655DC68A"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2001</w:t>
            </w:r>
          </w:p>
        </w:tc>
        <w:tc>
          <w:tcPr>
            <w:tcW w:w="1230" w:type="dxa"/>
            <w:tcBorders>
              <w:top w:val="nil"/>
              <w:left w:val="nil"/>
              <w:bottom w:val="single" w:sz="8" w:space="0" w:color="auto"/>
              <w:right w:val="nil"/>
            </w:tcBorders>
            <w:shd w:val="clear" w:color="auto" w:fill="auto"/>
            <w:noWrap/>
            <w:vAlign w:val="center"/>
            <w:hideMark/>
          </w:tcPr>
          <w:p w14:paraId="59969B5C"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8.25</w:t>
            </w:r>
          </w:p>
        </w:tc>
        <w:tc>
          <w:tcPr>
            <w:tcW w:w="690" w:type="dxa"/>
            <w:tcBorders>
              <w:top w:val="nil"/>
              <w:left w:val="nil"/>
              <w:bottom w:val="single" w:sz="8" w:space="0" w:color="auto"/>
              <w:right w:val="nil"/>
            </w:tcBorders>
            <w:shd w:val="clear" w:color="auto" w:fill="auto"/>
            <w:noWrap/>
            <w:vAlign w:val="center"/>
            <w:hideMark/>
          </w:tcPr>
          <w:p w14:paraId="01D30299"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1986</w:t>
            </w:r>
          </w:p>
        </w:tc>
        <w:tc>
          <w:tcPr>
            <w:tcW w:w="960" w:type="dxa"/>
            <w:tcBorders>
              <w:top w:val="nil"/>
              <w:left w:val="nil"/>
              <w:bottom w:val="single" w:sz="8" w:space="0" w:color="auto"/>
              <w:right w:val="nil"/>
            </w:tcBorders>
            <w:shd w:val="clear" w:color="auto" w:fill="auto"/>
            <w:noWrap/>
            <w:vAlign w:val="center"/>
            <w:hideMark/>
          </w:tcPr>
          <w:p w14:paraId="171769D2"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2016</w:t>
            </w:r>
          </w:p>
        </w:tc>
      </w:tr>
    </w:tbl>
    <w:p w14:paraId="7E917B76" w14:textId="77777777" w:rsidR="008301D3" w:rsidRDefault="008301D3" w:rsidP="008301D3">
      <w:pPr>
        <w:jc w:val="center"/>
      </w:pPr>
    </w:p>
    <w:p w14:paraId="477469BC" w14:textId="3E3B4B88" w:rsidR="00117CB9" w:rsidRDefault="00117CB9">
      <w:r>
        <w:br w:type="page"/>
      </w:r>
    </w:p>
    <w:p w14:paraId="03CD711C" w14:textId="3FA637A2" w:rsidR="008B1672" w:rsidRDefault="008B1672"/>
    <w:p w14:paraId="66B1276A" w14:textId="5D326A12" w:rsidR="008B1672" w:rsidRPr="008B1672" w:rsidRDefault="008B1672" w:rsidP="008B1672">
      <w:pPr>
        <w:jc w:val="center"/>
        <w:rPr>
          <w:b/>
          <w:bCs/>
        </w:rPr>
      </w:pPr>
      <w:r>
        <w:rPr>
          <w:b/>
          <w:bCs/>
        </w:rPr>
        <w:t xml:space="preserve">Table 2: </w:t>
      </w:r>
      <w:r w:rsidR="00221D96">
        <w:rPr>
          <w:b/>
          <w:bCs/>
        </w:rPr>
        <w:t xml:space="preserve">USA </w:t>
      </w:r>
      <w:r>
        <w:rPr>
          <w:b/>
          <w:bCs/>
        </w:rPr>
        <w:t xml:space="preserve">Demographics by </w:t>
      </w:r>
      <w:r w:rsidR="00735E22">
        <w:rPr>
          <w:b/>
          <w:bCs/>
        </w:rPr>
        <w:t>Position</w:t>
      </w:r>
    </w:p>
    <w:tbl>
      <w:tblPr>
        <w:tblW w:w="9360" w:type="dxa"/>
        <w:tblLook w:val="04A0" w:firstRow="1" w:lastRow="0" w:firstColumn="1" w:lastColumn="0" w:noHBand="0" w:noVBand="1"/>
      </w:tblPr>
      <w:tblGrid>
        <w:gridCol w:w="2591"/>
        <w:gridCol w:w="1440"/>
        <w:gridCol w:w="2179"/>
        <w:gridCol w:w="155"/>
        <w:gridCol w:w="1582"/>
        <w:gridCol w:w="1413"/>
      </w:tblGrid>
      <w:tr w:rsidR="006E6BF2" w:rsidRPr="006E6BF2" w14:paraId="3512640E" w14:textId="77777777" w:rsidTr="008301D3">
        <w:trPr>
          <w:trHeight w:val="960"/>
        </w:trPr>
        <w:tc>
          <w:tcPr>
            <w:tcW w:w="2591" w:type="dxa"/>
            <w:tcBorders>
              <w:top w:val="single" w:sz="8" w:space="0" w:color="auto"/>
              <w:left w:val="nil"/>
              <w:bottom w:val="single" w:sz="8" w:space="0" w:color="auto"/>
              <w:right w:val="nil"/>
            </w:tcBorders>
            <w:shd w:val="clear" w:color="auto" w:fill="auto"/>
            <w:noWrap/>
            <w:vAlign w:val="center"/>
            <w:hideMark/>
          </w:tcPr>
          <w:p w14:paraId="20B2750D" w14:textId="77777777" w:rsidR="006E6BF2" w:rsidRPr="006E6BF2" w:rsidRDefault="006E6BF2" w:rsidP="006E6BF2">
            <w:pPr>
              <w:spacing w:line="240" w:lineRule="auto"/>
              <w:rPr>
                <w:rFonts w:eastAsia="Times New Roman"/>
                <w:color w:val="000000"/>
              </w:rPr>
            </w:pPr>
            <w:r w:rsidRPr="006E6BF2">
              <w:rPr>
                <w:rFonts w:eastAsia="Times New Roman"/>
                <w:color w:val="000000"/>
              </w:rPr>
              <w:t>Demographics</w:t>
            </w:r>
          </w:p>
        </w:tc>
        <w:tc>
          <w:tcPr>
            <w:tcW w:w="1440" w:type="dxa"/>
            <w:tcBorders>
              <w:top w:val="single" w:sz="8" w:space="0" w:color="auto"/>
              <w:left w:val="nil"/>
              <w:bottom w:val="single" w:sz="8" w:space="0" w:color="auto"/>
              <w:right w:val="nil"/>
            </w:tcBorders>
            <w:shd w:val="clear" w:color="auto" w:fill="auto"/>
            <w:vAlign w:val="center"/>
            <w:hideMark/>
          </w:tcPr>
          <w:p w14:paraId="79413AAD"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Total % of USAs</w:t>
            </w:r>
          </w:p>
        </w:tc>
        <w:tc>
          <w:tcPr>
            <w:tcW w:w="2179" w:type="dxa"/>
            <w:tcBorders>
              <w:top w:val="single" w:sz="8" w:space="0" w:color="auto"/>
              <w:left w:val="nil"/>
              <w:bottom w:val="single" w:sz="8" w:space="0" w:color="auto"/>
              <w:right w:val="nil"/>
            </w:tcBorders>
            <w:shd w:val="clear" w:color="auto" w:fill="auto"/>
            <w:vAlign w:val="center"/>
            <w:hideMark/>
          </w:tcPr>
          <w:p w14:paraId="5674FF93"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Federal Bureaucracy %</w:t>
            </w:r>
          </w:p>
        </w:tc>
        <w:tc>
          <w:tcPr>
            <w:tcW w:w="1737" w:type="dxa"/>
            <w:gridSpan w:val="2"/>
            <w:tcBorders>
              <w:top w:val="single" w:sz="8" w:space="0" w:color="auto"/>
              <w:left w:val="nil"/>
              <w:bottom w:val="single" w:sz="8" w:space="0" w:color="auto"/>
              <w:right w:val="nil"/>
            </w:tcBorders>
            <w:shd w:val="clear" w:color="auto" w:fill="auto"/>
            <w:vAlign w:val="center"/>
            <w:hideMark/>
          </w:tcPr>
          <w:p w14:paraId="617D86A3"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Federal Courts %</w:t>
            </w:r>
          </w:p>
        </w:tc>
        <w:tc>
          <w:tcPr>
            <w:tcW w:w="1413" w:type="dxa"/>
            <w:tcBorders>
              <w:top w:val="single" w:sz="8" w:space="0" w:color="auto"/>
              <w:left w:val="nil"/>
              <w:bottom w:val="single" w:sz="8" w:space="0" w:color="auto"/>
              <w:right w:val="nil"/>
            </w:tcBorders>
            <w:shd w:val="clear" w:color="auto" w:fill="auto"/>
            <w:noWrap/>
            <w:vAlign w:val="center"/>
            <w:hideMark/>
          </w:tcPr>
          <w:p w14:paraId="27A30C0F"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Total N</w:t>
            </w:r>
          </w:p>
        </w:tc>
      </w:tr>
      <w:tr w:rsidR="006E6BF2" w:rsidRPr="006E6BF2" w14:paraId="302C713F" w14:textId="77777777" w:rsidTr="008301D3">
        <w:trPr>
          <w:trHeight w:val="315"/>
        </w:trPr>
        <w:tc>
          <w:tcPr>
            <w:tcW w:w="2591" w:type="dxa"/>
            <w:tcBorders>
              <w:top w:val="nil"/>
              <w:left w:val="nil"/>
              <w:bottom w:val="nil"/>
              <w:right w:val="nil"/>
            </w:tcBorders>
            <w:shd w:val="clear" w:color="auto" w:fill="auto"/>
            <w:noWrap/>
            <w:vAlign w:val="center"/>
            <w:hideMark/>
          </w:tcPr>
          <w:p w14:paraId="1D95474D" w14:textId="77777777" w:rsidR="006E6BF2" w:rsidRPr="006E6BF2" w:rsidRDefault="006E6BF2" w:rsidP="006E6BF2">
            <w:pPr>
              <w:spacing w:line="240" w:lineRule="auto"/>
              <w:rPr>
                <w:rFonts w:eastAsia="Times New Roman"/>
                <w:color w:val="000000"/>
              </w:rPr>
            </w:pPr>
            <w:r w:rsidRPr="006E6BF2">
              <w:rPr>
                <w:rFonts w:eastAsia="Times New Roman"/>
                <w:color w:val="000000"/>
              </w:rPr>
              <w:t>White Male</w:t>
            </w:r>
          </w:p>
        </w:tc>
        <w:tc>
          <w:tcPr>
            <w:tcW w:w="1440" w:type="dxa"/>
            <w:tcBorders>
              <w:top w:val="nil"/>
              <w:left w:val="nil"/>
              <w:bottom w:val="nil"/>
              <w:right w:val="nil"/>
            </w:tcBorders>
            <w:shd w:val="clear" w:color="auto" w:fill="auto"/>
            <w:noWrap/>
            <w:vAlign w:val="center"/>
            <w:hideMark/>
          </w:tcPr>
          <w:p w14:paraId="02DD2320"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78%</w:t>
            </w:r>
          </w:p>
        </w:tc>
        <w:tc>
          <w:tcPr>
            <w:tcW w:w="2334" w:type="dxa"/>
            <w:gridSpan w:val="2"/>
            <w:tcBorders>
              <w:top w:val="nil"/>
              <w:left w:val="nil"/>
              <w:bottom w:val="nil"/>
              <w:right w:val="nil"/>
            </w:tcBorders>
            <w:shd w:val="clear" w:color="auto" w:fill="auto"/>
            <w:noWrap/>
            <w:vAlign w:val="center"/>
            <w:hideMark/>
          </w:tcPr>
          <w:p w14:paraId="78994768"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62%</w:t>
            </w:r>
          </w:p>
        </w:tc>
        <w:tc>
          <w:tcPr>
            <w:tcW w:w="1582" w:type="dxa"/>
            <w:tcBorders>
              <w:top w:val="nil"/>
              <w:left w:val="nil"/>
              <w:bottom w:val="nil"/>
              <w:right w:val="nil"/>
            </w:tcBorders>
            <w:shd w:val="clear" w:color="auto" w:fill="auto"/>
            <w:noWrap/>
            <w:vAlign w:val="center"/>
            <w:hideMark/>
          </w:tcPr>
          <w:p w14:paraId="2B55573F"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64%</w:t>
            </w:r>
          </w:p>
        </w:tc>
        <w:tc>
          <w:tcPr>
            <w:tcW w:w="1413" w:type="dxa"/>
            <w:tcBorders>
              <w:top w:val="nil"/>
              <w:left w:val="nil"/>
              <w:bottom w:val="nil"/>
              <w:right w:val="nil"/>
            </w:tcBorders>
            <w:shd w:val="clear" w:color="auto" w:fill="auto"/>
            <w:noWrap/>
            <w:vAlign w:val="center"/>
            <w:hideMark/>
          </w:tcPr>
          <w:p w14:paraId="0400DD0A"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356</w:t>
            </w:r>
          </w:p>
        </w:tc>
      </w:tr>
      <w:tr w:rsidR="006E6BF2" w:rsidRPr="006E6BF2" w14:paraId="18CD1096" w14:textId="77777777" w:rsidTr="008301D3">
        <w:trPr>
          <w:trHeight w:val="330"/>
        </w:trPr>
        <w:tc>
          <w:tcPr>
            <w:tcW w:w="2591" w:type="dxa"/>
            <w:tcBorders>
              <w:top w:val="nil"/>
              <w:left w:val="nil"/>
              <w:bottom w:val="single" w:sz="8" w:space="0" w:color="auto"/>
              <w:right w:val="nil"/>
            </w:tcBorders>
            <w:shd w:val="clear" w:color="auto" w:fill="auto"/>
            <w:noWrap/>
            <w:vAlign w:val="center"/>
            <w:hideMark/>
          </w:tcPr>
          <w:p w14:paraId="34014299" w14:textId="77777777" w:rsidR="006E6BF2" w:rsidRPr="006E6BF2" w:rsidRDefault="006E6BF2" w:rsidP="006E6BF2">
            <w:pPr>
              <w:spacing w:line="240" w:lineRule="auto"/>
              <w:rPr>
                <w:rFonts w:eastAsia="Times New Roman"/>
                <w:color w:val="000000"/>
              </w:rPr>
            </w:pPr>
            <w:r w:rsidRPr="006E6BF2">
              <w:rPr>
                <w:rFonts w:eastAsia="Times New Roman"/>
                <w:color w:val="000000"/>
              </w:rPr>
              <w:t>Underrepresented</w:t>
            </w:r>
          </w:p>
        </w:tc>
        <w:tc>
          <w:tcPr>
            <w:tcW w:w="1440" w:type="dxa"/>
            <w:tcBorders>
              <w:top w:val="nil"/>
              <w:left w:val="nil"/>
              <w:bottom w:val="single" w:sz="8" w:space="0" w:color="auto"/>
              <w:right w:val="nil"/>
            </w:tcBorders>
            <w:shd w:val="clear" w:color="auto" w:fill="auto"/>
            <w:noWrap/>
            <w:vAlign w:val="center"/>
            <w:hideMark/>
          </w:tcPr>
          <w:p w14:paraId="2F64B0B7"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22%</w:t>
            </w:r>
          </w:p>
        </w:tc>
        <w:tc>
          <w:tcPr>
            <w:tcW w:w="2334" w:type="dxa"/>
            <w:gridSpan w:val="2"/>
            <w:tcBorders>
              <w:top w:val="nil"/>
              <w:left w:val="nil"/>
              <w:bottom w:val="single" w:sz="8" w:space="0" w:color="auto"/>
              <w:right w:val="nil"/>
            </w:tcBorders>
            <w:shd w:val="clear" w:color="auto" w:fill="auto"/>
            <w:noWrap/>
            <w:vAlign w:val="center"/>
            <w:hideMark/>
          </w:tcPr>
          <w:p w14:paraId="44DC1ABF"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38%</w:t>
            </w:r>
          </w:p>
        </w:tc>
        <w:tc>
          <w:tcPr>
            <w:tcW w:w="1582" w:type="dxa"/>
            <w:tcBorders>
              <w:top w:val="nil"/>
              <w:left w:val="nil"/>
              <w:bottom w:val="single" w:sz="8" w:space="0" w:color="auto"/>
              <w:right w:val="nil"/>
            </w:tcBorders>
            <w:shd w:val="clear" w:color="auto" w:fill="auto"/>
            <w:noWrap/>
            <w:vAlign w:val="center"/>
            <w:hideMark/>
          </w:tcPr>
          <w:p w14:paraId="4AFAE90D"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36%</w:t>
            </w:r>
          </w:p>
        </w:tc>
        <w:tc>
          <w:tcPr>
            <w:tcW w:w="1413" w:type="dxa"/>
            <w:tcBorders>
              <w:top w:val="nil"/>
              <w:left w:val="nil"/>
              <w:bottom w:val="single" w:sz="8" w:space="0" w:color="auto"/>
              <w:right w:val="nil"/>
            </w:tcBorders>
            <w:shd w:val="clear" w:color="auto" w:fill="auto"/>
            <w:noWrap/>
            <w:vAlign w:val="center"/>
            <w:hideMark/>
          </w:tcPr>
          <w:p w14:paraId="16CB857F"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101</w:t>
            </w:r>
          </w:p>
        </w:tc>
      </w:tr>
      <w:tr w:rsidR="006E6BF2" w:rsidRPr="006E6BF2" w14:paraId="453EE586" w14:textId="77777777" w:rsidTr="008301D3">
        <w:trPr>
          <w:trHeight w:val="315"/>
        </w:trPr>
        <w:tc>
          <w:tcPr>
            <w:tcW w:w="2591" w:type="dxa"/>
            <w:tcBorders>
              <w:top w:val="nil"/>
              <w:left w:val="nil"/>
              <w:bottom w:val="nil"/>
              <w:right w:val="nil"/>
            </w:tcBorders>
            <w:shd w:val="clear" w:color="auto" w:fill="auto"/>
            <w:noWrap/>
            <w:vAlign w:val="center"/>
            <w:hideMark/>
          </w:tcPr>
          <w:p w14:paraId="0E020DDB" w14:textId="77777777" w:rsidR="006E6BF2" w:rsidRPr="006E6BF2" w:rsidRDefault="006E6BF2" w:rsidP="006E6BF2">
            <w:pPr>
              <w:spacing w:line="240" w:lineRule="auto"/>
              <w:rPr>
                <w:rFonts w:eastAsia="Times New Roman"/>
                <w:color w:val="000000"/>
              </w:rPr>
            </w:pPr>
            <w:r w:rsidRPr="006E6BF2">
              <w:rPr>
                <w:rFonts w:eastAsia="Times New Roman"/>
                <w:color w:val="000000"/>
              </w:rPr>
              <w:t>African American</w:t>
            </w:r>
          </w:p>
        </w:tc>
        <w:tc>
          <w:tcPr>
            <w:tcW w:w="1440" w:type="dxa"/>
            <w:tcBorders>
              <w:top w:val="nil"/>
              <w:left w:val="nil"/>
              <w:bottom w:val="nil"/>
              <w:right w:val="nil"/>
            </w:tcBorders>
            <w:shd w:val="clear" w:color="auto" w:fill="auto"/>
            <w:noWrap/>
            <w:vAlign w:val="center"/>
            <w:hideMark/>
          </w:tcPr>
          <w:p w14:paraId="7FDA4958"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6%</w:t>
            </w:r>
          </w:p>
        </w:tc>
        <w:tc>
          <w:tcPr>
            <w:tcW w:w="2334" w:type="dxa"/>
            <w:gridSpan w:val="2"/>
            <w:tcBorders>
              <w:top w:val="nil"/>
              <w:left w:val="nil"/>
              <w:bottom w:val="nil"/>
              <w:right w:val="nil"/>
            </w:tcBorders>
            <w:shd w:val="clear" w:color="auto" w:fill="auto"/>
            <w:noWrap/>
            <w:vAlign w:val="center"/>
            <w:hideMark/>
          </w:tcPr>
          <w:p w14:paraId="743CBD69"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10%</w:t>
            </w:r>
          </w:p>
        </w:tc>
        <w:tc>
          <w:tcPr>
            <w:tcW w:w="1582" w:type="dxa"/>
            <w:tcBorders>
              <w:top w:val="nil"/>
              <w:left w:val="nil"/>
              <w:bottom w:val="nil"/>
              <w:right w:val="nil"/>
            </w:tcBorders>
            <w:shd w:val="clear" w:color="auto" w:fill="auto"/>
            <w:noWrap/>
            <w:vAlign w:val="center"/>
            <w:hideMark/>
          </w:tcPr>
          <w:p w14:paraId="593B5C81"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12%</w:t>
            </w:r>
          </w:p>
        </w:tc>
        <w:tc>
          <w:tcPr>
            <w:tcW w:w="1413" w:type="dxa"/>
            <w:tcBorders>
              <w:top w:val="nil"/>
              <w:left w:val="nil"/>
              <w:bottom w:val="nil"/>
              <w:right w:val="nil"/>
            </w:tcBorders>
            <w:shd w:val="clear" w:color="auto" w:fill="auto"/>
            <w:noWrap/>
            <w:vAlign w:val="center"/>
            <w:hideMark/>
          </w:tcPr>
          <w:p w14:paraId="5558A857"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28</w:t>
            </w:r>
          </w:p>
        </w:tc>
      </w:tr>
      <w:tr w:rsidR="006E6BF2" w:rsidRPr="006E6BF2" w14:paraId="3D175A2D" w14:textId="77777777" w:rsidTr="008301D3">
        <w:trPr>
          <w:trHeight w:val="315"/>
        </w:trPr>
        <w:tc>
          <w:tcPr>
            <w:tcW w:w="2591" w:type="dxa"/>
            <w:tcBorders>
              <w:top w:val="nil"/>
              <w:left w:val="nil"/>
              <w:bottom w:val="nil"/>
              <w:right w:val="nil"/>
            </w:tcBorders>
            <w:shd w:val="clear" w:color="auto" w:fill="auto"/>
            <w:noWrap/>
            <w:vAlign w:val="center"/>
            <w:hideMark/>
          </w:tcPr>
          <w:p w14:paraId="18F8304E" w14:textId="77777777" w:rsidR="006E6BF2" w:rsidRPr="006E6BF2" w:rsidRDefault="006E6BF2" w:rsidP="006E6BF2">
            <w:pPr>
              <w:spacing w:line="240" w:lineRule="auto"/>
              <w:rPr>
                <w:rFonts w:eastAsia="Times New Roman"/>
                <w:color w:val="000000"/>
              </w:rPr>
            </w:pPr>
            <w:r w:rsidRPr="006E6BF2">
              <w:rPr>
                <w:rFonts w:eastAsia="Times New Roman"/>
                <w:color w:val="000000"/>
              </w:rPr>
              <w:t>Asian</w:t>
            </w:r>
          </w:p>
        </w:tc>
        <w:tc>
          <w:tcPr>
            <w:tcW w:w="1440" w:type="dxa"/>
            <w:tcBorders>
              <w:top w:val="nil"/>
              <w:left w:val="nil"/>
              <w:bottom w:val="nil"/>
              <w:right w:val="nil"/>
            </w:tcBorders>
            <w:shd w:val="clear" w:color="auto" w:fill="auto"/>
            <w:noWrap/>
            <w:vAlign w:val="center"/>
            <w:hideMark/>
          </w:tcPr>
          <w:p w14:paraId="0461E606"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1%</w:t>
            </w:r>
          </w:p>
        </w:tc>
        <w:tc>
          <w:tcPr>
            <w:tcW w:w="2334" w:type="dxa"/>
            <w:gridSpan w:val="2"/>
            <w:tcBorders>
              <w:top w:val="nil"/>
              <w:left w:val="nil"/>
              <w:bottom w:val="nil"/>
              <w:right w:val="nil"/>
            </w:tcBorders>
            <w:shd w:val="clear" w:color="auto" w:fill="auto"/>
            <w:noWrap/>
            <w:vAlign w:val="center"/>
            <w:hideMark/>
          </w:tcPr>
          <w:p w14:paraId="3AC224CF"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3%</w:t>
            </w:r>
          </w:p>
        </w:tc>
        <w:tc>
          <w:tcPr>
            <w:tcW w:w="1582" w:type="dxa"/>
            <w:tcBorders>
              <w:top w:val="nil"/>
              <w:left w:val="nil"/>
              <w:bottom w:val="nil"/>
              <w:right w:val="nil"/>
            </w:tcBorders>
            <w:shd w:val="clear" w:color="auto" w:fill="auto"/>
            <w:noWrap/>
            <w:vAlign w:val="center"/>
            <w:hideMark/>
          </w:tcPr>
          <w:p w14:paraId="450AEE9E"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2%</w:t>
            </w:r>
          </w:p>
        </w:tc>
        <w:tc>
          <w:tcPr>
            <w:tcW w:w="1413" w:type="dxa"/>
            <w:tcBorders>
              <w:top w:val="nil"/>
              <w:left w:val="nil"/>
              <w:bottom w:val="nil"/>
              <w:right w:val="nil"/>
            </w:tcBorders>
            <w:shd w:val="clear" w:color="auto" w:fill="auto"/>
            <w:noWrap/>
            <w:vAlign w:val="center"/>
            <w:hideMark/>
          </w:tcPr>
          <w:p w14:paraId="4F70FFEF"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6</w:t>
            </w:r>
          </w:p>
        </w:tc>
      </w:tr>
      <w:tr w:rsidR="006E6BF2" w:rsidRPr="006E6BF2" w14:paraId="2E0F17A5" w14:textId="77777777" w:rsidTr="008301D3">
        <w:trPr>
          <w:trHeight w:val="315"/>
        </w:trPr>
        <w:tc>
          <w:tcPr>
            <w:tcW w:w="2591" w:type="dxa"/>
            <w:tcBorders>
              <w:top w:val="nil"/>
              <w:left w:val="nil"/>
              <w:bottom w:val="nil"/>
              <w:right w:val="nil"/>
            </w:tcBorders>
            <w:shd w:val="clear" w:color="auto" w:fill="auto"/>
            <w:noWrap/>
            <w:vAlign w:val="center"/>
            <w:hideMark/>
          </w:tcPr>
          <w:p w14:paraId="43EB4ED5" w14:textId="77777777" w:rsidR="006E6BF2" w:rsidRPr="006E6BF2" w:rsidRDefault="006E6BF2" w:rsidP="006E6BF2">
            <w:pPr>
              <w:spacing w:line="240" w:lineRule="auto"/>
              <w:rPr>
                <w:rFonts w:eastAsia="Times New Roman"/>
                <w:color w:val="000000"/>
              </w:rPr>
            </w:pPr>
            <w:r w:rsidRPr="006E6BF2">
              <w:rPr>
                <w:rFonts w:eastAsia="Times New Roman"/>
                <w:color w:val="000000"/>
              </w:rPr>
              <w:t>Latinx</w:t>
            </w:r>
          </w:p>
        </w:tc>
        <w:tc>
          <w:tcPr>
            <w:tcW w:w="1440" w:type="dxa"/>
            <w:tcBorders>
              <w:top w:val="nil"/>
              <w:left w:val="nil"/>
              <w:bottom w:val="nil"/>
              <w:right w:val="nil"/>
            </w:tcBorders>
            <w:shd w:val="clear" w:color="auto" w:fill="auto"/>
            <w:noWrap/>
            <w:vAlign w:val="center"/>
            <w:hideMark/>
          </w:tcPr>
          <w:p w14:paraId="353C1D18"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3%</w:t>
            </w:r>
          </w:p>
        </w:tc>
        <w:tc>
          <w:tcPr>
            <w:tcW w:w="2334" w:type="dxa"/>
            <w:gridSpan w:val="2"/>
            <w:tcBorders>
              <w:top w:val="nil"/>
              <w:left w:val="nil"/>
              <w:bottom w:val="nil"/>
              <w:right w:val="nil"/>
            </w:tcBorders>
            <w:shd w:val="clear" w:color="auto" w:fill="auto"/>
            <w:noWrap/>
            <w:vAlign w:val="center"/>
            <w:hideMark/>
          </w:tcPr>
          <w:p w14:paraId="5E34E1C8"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10%</w:t>
            </w:r>
          </w:p>
        </w:tc>
        <w:tc>
          <w:tcPr>
            <w:tcW w:w="1582" w:type="dxa"/>
            <w:tcBorders>
              <w:top w:val="nil"/>
              <w:left w:val="nil"/>
              <w:bottom w:val="nil"/>
              <w:right w:val="nil"/>
            </w:tcBorders>
            <w:shd w:val="clear" w:color="auto" w:fill="auto"/>
            <w:noWrap/>
            <w:vAlign w:val="center"/>
            <w:hideMark/>
          </w:tcPr>
          <w:p w14:paraId="2DC69B1C"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6%</w:t>
            </w:r>
          </w:p>
        </w:tc>
        <w:tc>
          <w:tcPr>
            <w:tcW w:w="1413" w:type="dxa"/>
            <w:tcBorders>
              <w:top w:val="nil"/>
              <w:left w:val="nil"/>
              <w:bottom w:val="nil"/>
              <w:right w:val="nil"/>
            </w:tcBorders>
            <w:shd w:val="clear" w:color="auto" w:fill="auto"/>
            <w:noWrap/>
            <w:vAlign w:val="center"/>
            <w:hideMark/>
          </w:tcPr>
          <w:p w14:paraId="373958C4"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14</w:t>
            </w:r>
          </w:p>
        </w:tc>
      </w:tr>
      <w:tr w:rsidR="006E6BF2" w:rsidRPr="006E6BF2" w14:paraId="33AAB7DA" w14:textId="77777777" w:rsidTr="008301D3">
        <w:trPr>
          <w:trHeight w:val="330"/>
        </w:trPr>
        <w:tc>
          <w:tcPr>
            <w:tcW w:w="2591" w:type="dxa"/>
            <w:tcBorders>
              <w:top w:val="nil"/>
              <w:left w:val="nil"/>
              <w:bottom w:val="single" w:sz="8" w:space="0" w:color="auto"/>
              <w:right w:val="nil"/>
            </w:tcBorders>
            <w:shd w:val="clear" w:color="auto" w:fill="auto"/>
            <w:noWrap/>
            <w:vAlign w:val="center"/>
            <w:hideMark/>
          </w:tcPr>
          <w:p w14:paraId="140AD083" w14:textId="77777777" w:rsidR="006E6BF2" w:rsidRPr="006E6BF2" w:rsidRDefault="006E6BF2" w:rsidP="006E6BF2">
            <w:pPr>
              <w:spacing w:line="240" w:lineRule="auto"/>
              <w:rPr>
                <w:rFonts w:eastAsia="Times New Roman"/>
                <w:color w:val="000000"/>
              </w:rPr>
            </w:pPr>
            <w:r w:rsidRPr="006E6BF2">
              <w:rPr>
                <w:rFonts w:eastAsia="Times New Roman"/>
                <w:color w:val="000000"/>
              </w:rPr>
              <w:t>Female</w:t>
            </w:r>
          </w:p>
        </w:tc>
        <w:tc>
          <w:tcPr>
            <w:tcW w:w="1440" w:type="dxa"/>
            <w:tcBorders>
              <w:top w:val="nil"/>
              <w:left w:val="nil"/>
              <w:bottom w:val="single" w:sz="8" w:space="0" w:color="auto"/>
              <w:right w:val="nil"/>
            </w:tcBorders>
            <w:shd w:val="clear" w:color="auto" w:fill="auto"/>
            <w:noWrap/>
            <w:vAlign w:val="center"/>
            <w:hideMark/>
          </w:tcPr>
          <w:p w14:paraId="7DEDF493"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15%</w:t>
            </w:r>
          </w:p>
        </w:tc>
        <w:tc>
          <w:tcPr>
            <w:tcW w:w="2334" w:type="dxa"/>
            <w:gridSpan w:val="2"/>
            <w:tcBorders>
              <w:top w:val="nil"/>
              <w:left w:val="nil"/>
              <w:bottom w:val="single" w:sz="8" w:space="0" w:color="auto"/>
              <w:right w:val="nil"/>
            </w:tcBorders>
            <w:shd w:val="clear" w:color="auto" w:fill="auto"/>
            <w:noWrap/>
            <w:vAlign w:val="center"/>
            <w:hideMark/>
          </w:tcPr>
          <w:p w14:paraId="2CCC9414"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15%</w:t>
            </w:r>
          </w:p>
        </w:tc>
        <w:tc>
          <w:tcPr>
            <w:tcW w:w="1582" w:type="dxa"/>
            <w:tcBorders>
              <w:top w:val="nil"/>
              <w:left w:val="nil"/>
              <w:bottom w:val="single" w:sz="8" w:space="0" w:color="auto"/>
              <w:right w:val="nil"/>
            </w:tcBorders>
            <w:shd w:val="clear" w:color="auto" w:fill="auto"/>
            <w:noWrap/>
            <w:vAlign w:val="center"/>
            <w:hideMark/>
          </w:tcPr>
          <w:p w14:paraId="3F5993AA"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24%</w:t>
            </w:r>
          </w:p>
        </w:tc>
        <w:tc>
          <w:tcPr>
            <w:tcW w:w="1413" w:type="dxa"/>
            <w:tcBorders>
              <w:top w:val="nil"/>
              <w:left w:val="nil"/>
              <w:bottom w:val="single" w:sz="8" w:space="0" w:color="auto"/>
              <w:right w:val="nil"/>
            </w:tcBorders>
            <w:shd w:val="clear" w:color="auto" w:fill="auto"/>
            <w:noWrap/>
            <w:vAlign w:val="center"/>
            <w:hideMark/>
          </w:tcPr>
          <w:p w14:paraId="6A82B6C6" w14:textId="77777777" w:rsidR="006E6BF2" w:rsidRPr="006E6BF2" w:rsidRDefault="006E6BF2" w:rsidP="006E6BF2">
            <w:pPr>
              <w:spacing w:line="240" w:lineRule="auto"/>
              <w:jc w:val="center"/>
              <w:rPr>
                <w:rFonts w:eastAsia="Times New Roman"/>
                <w:color w:val="000000"/>
              </w:rPr>
            </w:pPr>
            <w:r w:rsidRPr="006E6BF2">
              <w:rPr>
                <w:rFonts w:eastAsia="Times New Roman"/>
                <w:color w:val="000000"/>
              </w:rPr>
              <w:t>67</w:t>
            </w:r>
          </w:p>
        </w:tc>
      </w:tr>
    </w:tbl>
    <w:p w14:paraId="36F5A7ED" w14:textId="77777777" w:rsidR="005902CC" w:rsidRDefault="005902CC" w:rsidP="00184B75">
      <w:pPr>
        <w:spacing w:line="480" w:lineRule="auto"/>
        <w:ind w:left="720"/>
        <w:jc w:val="center"/>
        <w:rPr>
          <w:b/>
          <w:bCs/>
        </w:rPr>
      </w:pPr>
    </w:p>
    <w:p w14:paraId="44853ED4" w14:textId="77777777" w:rsidR="005902CC" w:rsidRDefault="005902CC" w:rsidP="00184B75">
      <w:pPr>
        <w:spacing w:line="480" w:lineRule="auto"/>
        <w:ind w:left="720"/>
        <w:jc w:val="center"/>
        <w:rPr>
          <w:b/>
          <w:bCs/>
        </w:rPr>
      </w:pPr>
    </w:p>
    <w:p w14:paraId="04DF1265" w14:textId="77777777" w:rsidR="005902CC" w:rsidRDefault="005902CC" w:rsidP="00184B75">
      <w:pPr>
        <w:spacing w:line="480" w:lineRule="auto"/>
        <w:ind w:left="720"/>
        <w:jc w:val="center"/>
        <w:rPr>
          <w:b/>
          <w:bCs/>
        </w:rPr>
      </w:pPr>
    </w:p>
    <w:p w14:paraId="04C8414D" w14:textId="77777777" w:rsidR="005902CC" w:rsidRDefault="005902CC" w:rsidP="00184B75">
      <w:pPr>
        <w:spacing w:line="480" w:lineRule="auto"/>
        <w:ind w:left="720"/>
        <w:jc w:val="center"/>
        <w:rPr>
          <w:b/>
          <w:bCs/>
        </w:rPr>
      </w:pPr>
    </w:p>
    <w:p w14:paraId="23B3C524" w14:textId="77777777" w:rsidR="005902CC" w:rsidRDefault="005902CC" w:rsidP="00184B75">
      <w:pPr>
        <w:spacing w:line="480" w:lineRule="auto"/>
        <w:ind w:left="720"/>
        <w:jc w:val="center"/>
        <w:rPr>
          <w:b/>
          <w:bCs/>
        </w:rPr>
      </w:pPr>
    </w:p>
    <w:p w14:paraId="5FF78EEC" w14:textId="77777777" w:rsidR="005902CC" w:rsidRDefault="005902CC" w:rsidP="00184B75">
      <w:pPr>
        <w:spacing w:line="480" w:lineRule="auto"/>
        <w:ind w:left="720"/>
        <w:jc w:val="center"/>
        <w:rPr>
          <w:b/>
          <w:bCs/>
        </w:rPr>
      </w:pPr>
    </w:p>
    <w:p w14:paraId="36E22596" w14:textId="77777777" w:rsidR="005902CC" w:rsidRDefault="005902CC" w:rsidP="00184B75">
      <w:pPr>
        <w:spacing w:line="480" w:lineRule="auto"/>
        <w:ind w:left="720"/>
        <w:jc w:val="center"/>
        <w:rPr>
          <w:b/>
          <w:bCs/>
        </w:rPr>
      </w:pPr>
    </w:p>
    <w:p w14:paraId="5D7ADD39" w14:textId="77777777" w:rsidR="005902CC" w:rsidRDefault="005902CC" w:rsidP="00184B75">
      <w:pPr>
        <w:spacing w:line="480" w:lineRule="auto"/>
        <w:ind w:left="720"/>
        <w:jc w:val="center"/>
        <w:rPr>
          <w:b/>
          <w:bCs/>
        </w:rPr>
      </w:pPr>
    </w:p>
    <w:p w14:paraId="1CB021EA" w14:textId="77777777" w:rsidR="005902CC" w:rsidRDefault="005902CC" w:rsidP="00184B75">
      <w:pPr>
        <w:spacing w:line="480" w:lineRule="auto"/>
        <w:ind w:left="720"/>
        <w:jc w:val="center"/>
        <w:rPr>
          <w:b/>
          <w:bCs/>
        </w:rPr>
      </w:pPr>
    </w:p>
    <w:p w14:paraId="401BC503" w14:textId="77777777" w:rsidR="005902CC" w:rsidRDefault="005902CC" w:rsidP="00184B75">
      <w:pPr>
        <w:spacing w:line="480" w:lineRule="auto"/>
        <w:ind w:left="720"/>
        <w:jc w:val="center"/>
        <w:rPr>
          <w:b/>
          <w:bCs/>
        </w:rPr>
      </w:pPr>
    </w:p>
    <w:p w14:paraId="39E7C0FF" w14:textId="77777777" w:rsidR="005902CC" w:rsidRDefault="005902CC" w:rsidP="00184B75">
      <w:pPr>
        <w:spacing w:line="480" w:lineRule="auto"/>
        <w:ind w:left="720"/>
        <w:jc w:val="center"/>
        <w:rPr>
          <w:b/>
          <w:bCs/>
        </w:rPr>
      </w:pPr>
    </w:p>
    <w:p w14:paraId="5E2C87BC" w14:textId="77777777" w:rsidR="005902CC" w:rsidRDefault="005902CC" w:rsidP="00184B75">
      <w:pPr>
        <w:spacing w:line="480" w:lineRule="auto"/>
        <w:ind w:left="720"/>
        <w:jc w:val="center"/>
        <w:rPr>
          <w:b/>
          <w:bCs/>
        </w:rPr>
      </w:pPr>
    </w:p>
    <w:p w14:paraId="1D7D8F59" w14:textId="77777777" w:rsidR="005902CC" w:rsidRDefault="005902CC" w:rsidP="00184B75">
      <w:pPr>
        <w:spacing w:line="480" w:lineRule="auto"/>
        <w:ind w:left="720"/>
        <w:jc w:val="center"/>
        <w:rPr>
          <w:b/>
          <w:bCs/>
        </w:rPr>
      </w:pPr>
    </w:p>
    <w:p w14:paraId="606F3135" w14:textId="77777777" w:rsidR="005902CC" w:rsidRDefault="005902CC" w:rsidP="00184B75">
      <w:pPr>
        <w:spacing w:line="480" w:lineRule="auto"/>
        <w:ind w:left="720"/>
        <w:jc w:val="center"/>
        <w:rPr>
          <w:b/>
          <w:bCs/>
        </w:rPr>
      </w:pPr>
    </w:p>
    <w:p w14:paraId="697EF13F" w14:textId="77777777" w:rsidR="005902CC" w:rsidRDefault="005902CC" w:rsidP="00184B75">
      <w:pPr>
        <w:spacing w:line="480" w:lineRule="auto"/>
        <w:ind w:left="720"/>
        <w:jc w:val="center"/>
        <w:rPr>
          <w:b/>
          <w:bCs/>
        </w:rPr>
      </w:pPr>
    </w:p>
    <w:p w14:paraId="1DCD011F" w14:textId="77777777" w:rsidR="005902CC" w:rsidRDefault="005902CC" w:rsidP="00184B75">
      <w:pPr>
        <w:spacing w:line="480" w:lineRule="auto"/>
        <w:ind w:left="720"/>
        <w:jc w:val="center"/>
        <w:rPr>
          <w:b/>
          <w:bCs/>
        </w:rPr>
      </w:pPr>
    </w:p>
    <w:p w14:paraId="0688B3AD" w14:textId="77777777" w:rsidR="005902CC" w:rsidRDefault="005902CC" w:rsidP="00184B75">
      <w:pPr>
        <w:spacing w:line="480" w:lineRule="auto"/>
        <w:ind w:left="720"/>
        <w:jc w:val="center"/>
        <w:rPr>
          <w:b/>
          <w:bCs/>
        </w:rPr>
      </w:pPr>
    </w:p>
    <w:p w14:paraId="4CDBBE27" w14:textId="77777777" w:rsidR="005902CC" w:rsidRDefault="005902CC" w:rsidP="00184B75">
      <w:pPr>
        <w:spacing w:line="480" w:lineRule="auto"/>
        <w:ind w:left="720"/>
        <w:jc w:val="center"/>
        <w:rPr>
          <w:b/>
          <w:bCs/>
        </w:rPr>
      </w:pPr>
    </w:p>
    <w:p w14:paraId="0F455D0E" w14:textId="0C57C862" w:rsidR="005902CC" w:rsidRDefault="005902CC" w:rsidP="00184B75">
      <w:pPr>
        <w:spacing w:line="480" w:lineRule="auto"/>
        <w:ind w:left="720"/>
        <w:jc w:val="center"/>
        <w:rPr>
          <w:b/>
          <w:bCs/>
        </w:rPr>
      </w:pPr>
    </w:p>
    <w:p w14:paraId="25989A23" w14:textId="7055CF57" w:rsidR="00944D21" w:rsidRDefault="005902CC" w:rsidP="00735E22">
      <w:pPr>
        <w:spacing w:line="240" w:lineRule="auto"/>
        <w:ind w:left="720"/>
        <w:jc w:val="center"/>
        <w:rPr>
          <w:b/>
          <w:bCs/>
        </w:rPr>
      </w:pPr>
      <w:r>
        <w:rPr>
          <w:b/>
          <w:bCs/>
        </w:rPr>
        <w:t>Table 3: USA Demographics by Appointing President</w:t>
      </w:r>
    </w:p>
    <w:tbl>
      <w:tblPr>
        <w:tblW w:w="7840" w:type="dxa"/>
        <w:jc w:val="center"/>
        <w:tblLook w:val="04A0" w:firstRow="1" w:lastRow="0" w:firstColumn="1" w:lastColumn="0" w:noHBand="0" w:noVBand="1"/>
      </w:tblPr>
      <w:tblGrid>
        <w:gridCol w:w="1320"/>
        <w:gridCol w:w="1420"/>
        <w:gridCol w:w="1320"/>
        <w:gridCol w:w="1420"/>
        <w:gridCol w:w="1140"/>
        <w:gridCol w:w="1220"/>
      </w:tblGrid>
      <w:tr w:rsidR="00735E22" w:rsidRPr="00735E22" w14:paraId="002FCC58" w14:textId="77777777" w:rsidTr="00735E22">
        <w:trPr>
          <w:trHeight w:val="315"/>
          <w:jc w:val="center"/>
        </w:trPr>
        <w:tc>
          <w:tcPr>
            <w:tcW w:w="1320" w:type="dxa"/>
            <w:tcBorders>
              <w:top w:val="single" w:sz="4" w:space="0" w:color="auto"/>
              <w:left w:val="nil"/>
              <w:bottom w:val="single" w:sz="4" w:space="0" w:color="auto"/>
              <w:right w:val="nil"/>
            </w:tcBorders>
            <w:shd w:val="clear" w:color="auto" w:fill="auto"/>
            <w:noWrap/>
            <w:vAlign w:val="bottom"/>
            <w:hideMark/>
          </w:tcPr>
          <w:p w14:paraId="58BE4563" w14:textId="77777777" w:rsidR="00735E22" w:rsidRPr="00735E22" w:rsidRDefault="00735E22" w:rsidP="00735E22">
            <w:pPr>
              <w:spacing w:line="240" w:lineRule="auto"/>
              <w:rPr>
                <w:rFonts w:eastAsia="Times New Roman"/>
                <w:color w:val="000000"/>
              </w:rPr>
            </w:pPr>
            <w:r w:rsidRPr="00735E22">
              <w:rPr>
                <w:rFonts w:eastAsia="Times New Roman"/>
                <w:color w:val="000000"/>
              </w:rPr>
              <w:t> </w:t>
            </w:r>
          </w:p>
        </w:tc>
        <w:tc>
          <w:tcPr>
            <w:tcW w:w="1420" w:type="dxa"/>
            <w:tcBorders>
              <w:top w:val="single" w:sz="4" w:space="0" w:color="auto"/>
              <w:left w:val="nil"/>
              <w:bottom w:val="single" w:sz="4" w:space="0" w:color="auto"/>
              <w:right w:val="nil"/>
            </w:tcBorders>
            <w:shd w:val="clear" w:color="auto" w:fill="auto"/>
            <w:noWrap/>
            <w:vAlign w:val="bottom"/>
            <w:hideMark/>
          </w:tcPr>
          <w:p w14:paraId="1678D856"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 White Male</w:t>
            </w:r>
          </w:p>
        </w:tc>
        <w:tc>
          <w:tcPr>
            <w:tcW w:w="1320" w:type="dxa"/>
            <w:tcBorders>
              <w:top w:val="single" w:sz="4" w:space="0" w:color="auto"/>
              <w:left w:val="nil"/>
              <w:bottom w:val="single" w:sz="4" w:space="0" w:color="auto"/>
              <w:right w:val="nil"/>
            </w:tcBorders>
            <w:shd w:val="clear" w:color="auto" w:fill="auto"/>
            <w:noWrap/>
            <w:vAlign w:val="bottom"/>
            <w:hideMark/>
          </w:tcPr>
          <w:p w14:paraId="351007E7"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 Female</w:t>
            </w:r>
          </w:p>
        </w:tc>
        <w:tc>
          <w:tcPr>
            <w:tcW w:w="1420" w:type="dxa"/>
            <w:tcBorders>
              <w:top w:val="single" w:sz="4" w:space="0" w:color="auto"/>
              <w:left w:val="nil"/>
              <w:bottom w:val="single" w:sz="4" w:space="0" w:color="auto"/>
              <w:right w:val="nil"/>
            </w:tcBorders>
            <w:shd w:val="clear" w:color="auto" w:fill="auto"/>
            <w:noWrap/>
            <w:vAlign w:val="bottom"/>
            <w:hideMark/>
          </w:tcPr>
          <w:p w14:paraId="430BE649"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 African Am.</w:t>
            </w:r>
          </w:p>
        </w:tc>
        <w:tc>
          <w:tcPr>
            <w:tcW w:w="1140" w:type="dxa"/>
            <w:tcBorders>
              <w:top w:val="single" w:sz="4" w:space="0" w:color="auto"/>
              <w:left w:val="nil"/>
              <w:bottom w:val="single" w:sz="4" w:space="0" w:color="auto"/>
              <w:right w:val="nil"/>
            </w:tcBorders>
            <w:shd w:val="clear" w:color="auto" w:fill="auto"/>
            <w:noWrap/>
            <w:vAlign w:val="bottom"/>
            <w:hideMark/>
          </w:tcPr>
          <w:p w14:paraId="3A8E4F4B"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 Asian</w:t>
            </w:r>
          </w:p>
        </w:tc>
        <w:tc>
          <w:tcPr>
            <w:tcW w:w="1220" w:type="dxa"/>
            <w:tcBorders>
              <w:top w:val="single" w:sz="4" w:space="0" w:color="auto"/>
              <w:left w:val="nil"/>
              <w:bottom w:val="single" w:sz="4" w:space="0" w:color="auto"/>
              <w:right w:val="nil"/>
            </w:tcBorders>
            <w:shd w:val="clear" w:color="auto" w:fill="auto"/>
            <w:noWrap/>
            <w:vAlign w:val="bottom"/>
            <w:hideMark/>
          </w:tcPr>
          <w:p w14:paraId="0084C2BF"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 xml:space="preserve">% </w:t>
            </w:r>
            <w:proofErr w:type="spellStart"/>
            <w:r w:rsidRPr="00735E22">
              <w:rPr>
                <w:rFonts w:eastAsia="Times New Roman"/>
                <w:color w:val="000000"/>
              </w:rPr>
              <w:t>Latinix</w:t>
            </w:r>
            <w:proofErr w:type="spellEnd"/>
          </w:p>
        </w:tc>
      </w:tr>
      <w:tr w:rsidR="00735E22" w:rsidRPr="00735E22" w14:paraId="59C5AFA3" w14:textId="77777777" w:rsidTr="00735E22">
        <w:trPr>
          <w:trHeight w:val="315"/>
          <w:jc w:val="center"/>
        </w:trPr>
        <w:tc>
          <w:tcPr>
            <w:tcW w:w="1320" w:type="dxa"/>
            <w:tcBorders>
              <w:top w:val="nil"/>
              <w:left w:val="nil"/>
              <w:bottom w:val="nil"/>
              <w:right w:val="nil"/>
            </w:tcBorders>
            <w:shd w:val="clear" w:color="auto" w:fill="auto"/>
            <w:noWrap/>
            <w:vAlign w:val="bottom"/>
            <w:hideMark/>
          </w:tcPr>
          <w:p w14:paraId="44BEECDD" w14:textId="77777777" w:rsidR="00735E22" w:rsidRPr="00735E22" w:rsidRDefault="00735E22" w:rsidP="00735E22">
            <w:pPr>
              <w:spacing w:line="240" w:lineRule="auto"/>
              <w:rPr>
                <w:rFonts w:eastAsia="Times New Roman"/>
                <w:color w:val="000000"/>
              </w:rPr>
            </w:pPr>
            <w:r w:rsidRPr="00735E22">
              <w:rPr>
                <w:rFonts w:eastAsia="Times New Roman"/>
                <w:color w:val="000000"/>
              </w:rPr>
              <w:t>Reagan</w:t>
            </w:r>
          </w:p>
        </w:tc>
        <w:tc>
          <w:tcPr>
            <w:tcW w:w="1420" w:type="dxa"/>
            <w:tcBorders>
              <w:top w:val="nil"/>
              <w:left w:val="nil"/>
              <w:bottom w:val="nil"/>
              <w:right w:val="nil"/>
            </w:tcBorders>
            <w:shd w:val="clear" w:color="auto" w:fill="auto"/>
            <w:noWrap/>
            <w:vAlign w:val="bottom"/>
            <w:hideMark/>
          </w:tcPr>
          <w:p w14:paraId="6B91B5A8"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97%</w:t>
            </w:r>
          </w:p>
        </w:tc>
        <w:tc>
          <w:tcPr>
            <w:tcW w:w="1320" w:type="dxa"/>
            <w:tcBorders>
              <w:top w:val="nil"/>
              <w:left w:val="nil"/>
              <w:bottom w:val="nil"/>
              <w:right w:val="nil"/>
            </w:tcBorders>
            <w:shd w:val="clear" w:color="auto" w:fill="auto"/>
            <w:noWrap/>
            <w:vAlign w:val="bottom"/>
            <w:hideMark/>
          </w:tcPr>
          <w:p w14:paraId="4FF2DA87"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0%</w:t>
            </w:r>
          </w:p>
        </w:tc>
        <w:tc>
          <w:tcPr>
            <w:tcW w:w="1420" w:type="dxa"/>
            <w:tcBorders>
              <w:top w:val="nil"/>
              <w:left w:val="nil"/>
              <w:bottom w:val="nil"/>
              <w:right w:val="nil"/>
            </w:tcBorders>
            <w:shd w:val="clear" w:color="auto" w:fill="auto"/>
            <w:noWrap/>
            <w:vAlign w:val="bottom"/>
            <w:hideMark/>
          </w:tcPr>
          <w:p w14:paraId="32B6477C"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1%</w:t>
            </w:r>
          </w:p>
        </w:tc>
        <w:tc>
          <w:tcPr>
            <w:tcW w:w="1140" w:type="dxa"/>
            <w:tcBorders>
              <w:top w:val="nil"/>
              <w:left w:val="nil"/>
              <w:bottom w:val="nil"/>
              <w:right w:val="nil"/>
            </w:tcBorders>
            <w:shd w:val="clear" w:color="auto" w:fill="auto"/>
            <w:noWrap/>
            <w:vAlign w:val="bottom"/>
            <w:hideMark/>
          </w:tcPr>
          <w:p w14:paraId="15E11CBE"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0%</w:t>
            </w:r>
          </w:p>
        </w:tc>
        <w:tc>
          <w:tcPr>
            <w:tcW w:w="1220" w:type="dxa"/>
            <w:tcBorders>
              <w:top w:val="nil"/>
              <w:left w:val="nil"/>
              <w:bottom w:val="nil"/>
              <w:right w:val="nil"/>
            </w:tcBorders>
            <w:shd w:val="clear" w:color="auto" w:fill="auto"/>
            <w:noWrap/>
            <w:vAlign w:val="bottom"/>
            <w:hideMark/>
          </w:tcPr>
          <w:p w14:paraId="78185D71"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1%</w:t>
            </w:r>
          </w:p>
        </w:tc>
      </w:tr>
      <w:tr w:rsidR="00735E22" w:rsidRPr="00735E22" w14:paraId="7E0C65AC" w14:textId="77777777" w:rsidTr="00735E22">
        <w:trPr>
          <w:trHeight w:val="315"/>
          <w:jc w:val="center"/>
        </w:trPr>
        <w:tc>
          <w:tcPr>
            <w:tcW w:w="1320" w:type="dxa"/>
            <w:tcBorders>
              <w:top w:val="nil"/>
              <w:left w:val="nil"/>
              <w:bottom w:val="nil"/>
              <w:right w:val="nil"/>
            </w:tcBorders>
            <w:shd w:val="clear" w:color="auto" w:fill="auto"/>
            <w:noWrap/>
            <w:vAlign w:val="bottom"/>
            <w:hideMark/>
          </w:tcPr>
          <w:p w14:paraId="0FEFD629" w14:textId="77777777" w:rsidR="00735E22" w:rsidRPr="00735E22" w:rsidRDefault="00735E22" w:rsidP="00735E22">
            <w:pPr>
              <w:spacing w:line="240" w:lineRule="auto"/>
              <w:rPr>
                <w:rFonts w:eastAsia="Times New Roman"/>
                <w:color w:val="000000"/>
              </w:rPr>
            </w:pPr>
            <w:r w:rsidRPr="00735E22">
              <w:rPr>
                <w:rFonts w:eastAsia="Times New Roman"/>
                <w:color w:val="000000"/>
              </w:rPr>
              <w:t>H.W. Bush</w:t>
            </w:r>
          </w:p>
        </w:tc>
        <w:tc>
          <w:tcPr>
            <w:tcW w:w="1420" w:type="dxa"/>
            <w:tcBorders>
              <w:top w:val="nil"/>
              <w:left w:val="nil"/>
              <w:bottom w:val="nil"/>
              <w:right w:val="nil"/>
            </w:tcBorders>
            <w:shd w:val="clear" w:color="auto" w:fill="auto"/>
            <w:noWrap/>
            <w:vAlign w:val="bottom"/>
            <w:hideMark/>
          </w:tcPr>
          <w:p w14:paraId="7EF7A37B"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85%</w:t>
            </w:r>
          </w:p>
        </w:tc>
        <w:tc>
          <w:tcPr>
            <w:tcW w:w="1320" w:type="dxa"/>
            <w:tcBorders>
              <w:top w:val="nil"/>
              <w:left w:val="nil"/>
              <w:bottom w:val="nil"/>
              <w:right w:val="nil"/>
            </w:tcBorders>
            <w:shd w:val="clear" w:color="auto" w:fill="auto"/>
            <w:noWrap/>
            <w:vAlign w:val="bottom"/>
            <w:hideMark/>
          </w:tcPr>
          <w:p w14:paraId="7D47958C"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13%</w:t>
            </w:r>
          </w:p>
        </w:tc>
        <w:tc>
          <w:tcPr>
            <w:tcW w:w="1420" w:type="dxa"/>
            <w:tcBorders>
              <w:top w:val="nil"/>
              <w:left w:val="nil"/>
              <w:bottom w:val="nil"/>
              <w:right w:val="nil"/>
            </w:tcBorders>
            <w:shd w:val="clear" w:color="auto" w:fill="auto"/>
            <w:noWrap/>
            <w:vAlign w:val="bottom"/>
            <w:hideMark/>
          </w:tcPr>
          <w:p w14:paraId="3E412368"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2%</w:t>
            </w:r>
          </w:p>
        </w:tc>
        <w:tc>
          <w:tcPr>
            <w:tcW w:w="1140" w:type="dxa"/>
            <w:tcBorders>
              <w:top w:val="nil"/>
              <w:left w:val="nil"/>
              <w:bottom w:val="nil"/>
              <w:right w:val="nil"/>
            </w:tcBorders>
            <w:shd w:val="clear" w:color="auto" w:fill="auto"/>
            <w:noWrap/>
            <w:vAlign w:val="bottom"/>
            <w:hideMark/>
          </w:tcPr>
          <w:p w14:paraId="63F816E2"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0%</w:t>
            </w:r>
          </w:p>
        </w:tc>
        <w:tc>
          <w:tcPr>
            <w:tcW w:w="1220" w:type="dxa"/>
            <w:tcBorders>
              <w:top w:val="nil"/>
              <w:left w:val="nil"/>
              <w:bottom w:val="nil"/>
              <w:right w:val="nil"/>
            </w:tcBorders>
            <w:shd w:val="clear" w:color="auto" w:fill="auto"/>
            <w:noWrap/>
            <w:vAlign w:val="bottom"/>
            <w:hideMark/>
          </w:tcPr>
          <w:p w14:paraId="3F92CE98"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2%</w:t>
            </w:r>
          </w:p>
        </w:tc>
      </w:tr>
      <w:tr w:rsidR="00735E22" w:rsidRPr="00735E22" w14:paraId="02CB624B" w14:textId="77777777" w:rsidTr="00735E22">
        <w:trPr>
          <w:trHeight w:val="315"/>
          <w:jc w:val="center"/>
        </w:trPr>
        <w:tc>
          <w:tcPr>
            <w:tcW w:w="1320" w:type="dxa"/>
            <w:tcBorders>
              <w:top w:val="nil"/>
              <w:left w:val="nil"/>
              <w:bottom w:val="nil"/>
              <w:right w:val="nil"/>
            </w:tcBorders>
            <w:shd w:val="clear" w:color="auto" w:fill="auto"/>
            <w:noWrap/>
            <w:vAlign w:val="bottom"/>
            <w:hideMark/>
          </w:tcPr>
          <w:p w14:paraId="3CA56A20" w14:textId="77777777" w:rsidR="00735E22" w:rsidRPr="00735E22" w:rsidRDefault="00735E22" w:rsidP="00735E22">
            <w:pPr>
              <w:spacing w:line="240" w:lineRule="auto"/>
              <w:rPr>
                <w:rFonts w:eastAsia="Times New Roman"/>
                <w:color w:val="000000"/>
              </w:rPr>
            </w:pPr>
            <w:r w:rsidRPr="00735E22">
              <w:rPr>
                <w:rFonts w:eastAsia="Times New Roman"/>
                <w:color w:val="000000"/>
              </w:rPr>
              <w:t>Clinton</w:t>
            </w:r>
          </w:p>
        </w:tc>
        <w:tc>
          <w:tcPr>
            <w:tcW w:w="1420" w:type="dxa"/>
            <w:tcBorders>
              <w:top w:val="nil"/>
              <w:left w:val="nil"/>
              <w:bottom w:val="nil"/>
              <w:right w:val="nil"/>
            </w:tcBorders>
            <w:shd w:val="clear" w:color="auto" w:fill="auto"/>
            <w:noWrap/>
            <w:vAlign w:val="bottom"/>
            <w:hideMark/>
          </w:tcPr>
          <w:p w14:paraId="30E5242B"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64%</w:t>
            </w:r>
          </w:p>
        </w:tc>
        <w:tc>
          <w:tcPr>
            <w:tcW w:w="1320" w:type="dxa"/>
            <w:tcBorders>
              <w:top w:val="nil"/>
              <w:left w:val="nil"/>
              <w:bottom w:val="nil"/>
              <w:right w:val="nil"/>
            </w:tcBorders>
            <w:shd w:val="clear" w:color="auto" w:fill="auto"/>
            <w:noWrap/>
            <w:vAlign w:val="bottom"/>
            <w:hideMark/>
          </w:tcPr>
          <w:p w14:paraId="61A95797"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24%</w:t>
            </w:r>
          </w:p>
        </w:tc>
        <w:tc>
          <w:tcPr>
            <w:tcW w:w="1420" w:type="dxa"/>
            <w:tcBorders>
              <w:top w:val="nil"/>
              <w:left w:val="nil"/>
              <w:bottom w:val="nil"/>
              <w:right w:val="nil"/>
            </w:tcBorders>
            <w:shd w:val="clear" w:color="auto" w:fill="auto"/>
            <w:noWrap/>
            <w:vAlign w:val="bottom"/>
            <w:hideMark/>
          </w:tcPr>
          <w:p w14:paraId="3892311E"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14%</w:t>
            </w:r>
          </w:p>
        </w:tc>
        <w:tc>
          <w:tcPr>
            <w:tcW w:w="1140" w:type="dxa"/>
            <w:tcBorders>
              <w:top w:val="nil"/>
              <w:left w:val="nil"/>
              <w:bottom w:val="nil"/>
              <w:right w:val="nil"/>
            </w:tcBorders>
            <w:shd w:val="clear" w:color="auto" w:fill="auto"/>
            <w:noWrap/>
            <w:vAlign w:val="bottom"/>
            <w:hideMark/>
          </w:tcPr>
          <w:p w14:paraId="5B733000"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1%</w:t>
            </w:r>
          </w:p>
        </w:tc>
        <w:tc>
          <w:tcPr>
            <w:tcW w:w="1220" w:type="dxa"/>
            <w:tcBorders>
              <w:top w:val="nil"/>
              <w:left w:val="nil"/>
              <w:bottom w:val="nil"/>
              <w:right w:val="nil"/>
            </w:tcBorders>
            <w:shd w:val="clear" w:color="auto" w:fill="auto"/>
            <w:noWrap/>
            <w:vAlign w:val="bottom"/>
            <w:hideMark/>
          </w:tcPr>
          <w:p w14:paraId="6D05639D"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3%</w:t>
            </w:r>
          </w:p>
        </w:tc>
      </w:tr>
      <w:tr w:rsidR="00735E22" w:rsidRPr="00735E22" w14:paraId="4F4B2DC2" w14:textId="77777777" w:rsidTr="00735E22">
        <w:trPr>
          <w:trHeight w:val="315"/>
          <w:jc w:val="center"/>
        </w:trPr>
        <w:tc>
          <w:tcPr>
            <w:tcW w:w="1320" w:type="dxa"/>
            <w:tcBorders>
              <w:top w:val="nil"/>
              <w:left w:val="nil"/>
              <w:bottom w:val="nil"/>
              <w:right w:val="nil"/>
            </w:tcBorders>
            <w:shd w:val="clear" w:color="auto" w:fill="auto"/>
            <w:noWrap/>
            <w:vAlign w:val="bottom"/>
            <w:hideMark/>
          </w:tcPr>
          <w:p w14:paraId="4F868C38" w14:textId="77777777" w:rsidR="00735E22" w:rsidRPr="00735E22" w:rsidRDefault="00735E22" w:rsidP="00735E22">
            <w:pPr>
              <w:spacing w:line="240" w:lineRule="auto"/>
              <w:rPr>
                <w:rFonts w:eastAsia="Times New Roman"/>
                <w:color w:val="000000"/>
              </w:rPr>
            </w:pPr>
            <w:r w:rsidRPr="00735E22">
              <w:rPr>
                <w:rFonts w:eastAsia="Times New Roman"/>
                <w:color w:val="000000"/>
              </w:rPr>
              <w:t>W. Bush</w:t>
            </w:r>
          </w:p>
        </w:tc>
        <w:tc>
          <w:tcPr>
            <w:tcW w:w="1420" w:type="dxa"/>
            <w:tcBorders>
              <w:top w:val="nil"/>
              <w:left w:val="nil"/>
              <w:bottom w:val="nil"/>
              <w:right w:val="nil"/>
            </w:tcBorders>
            <w:shd w:val="clear" w:color="auto" w:fill="auto"/>
            <w:noWrap/>
            <w:vAlign w:val="bottom"/>
            <w:hideMark/>
          </w:tcPr>
          <w:p w14:paraId="77BE2A4B"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77%</w:t>
            </w:r>
          </w:p>
        </w:tc>
        <w:tc>
          <w:tcPr>
            <w:tcW w:w="1320" w:type="dxa"/>
            <w:tcBorders>
              <w:top w:val="nil"/>
              <w:left w:val="nil"/>
              <w:bottom w:val="nil"/>
              <w:right w:val="nil"/>
            </w:tcBorders>
            <w:shd w:val="clear" w:color="auto" w:fill="auto"/>
            <w:noWrap/>
            <w:vAlign w:val="bottom"/>
            <w:hideMark/>
          </w:tcPr>
          <w:p w14:paraId="556969F1"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15%</w:t>
            </w:r>
          </w:p>
        </w:tc>
        <w:tc>
          <w:tcPr>
            <w:tcW w:w="1420" w:type="dxa"/>
            <w:tcBorders>
              <w:top w:val="nil"/>
              <w:left w:val="nil"/>
              <w:bottom w:val="nil"/>
              <w:right w:val="nil"/>
            </w:tcBorders>
            <w:shd w:val="clear" w:color="auto" w:fill="auto"/>
            <w:noWrap/>
            <w:vAlign w:val="bottom"/>
            <w:hideMark/>
          </w:tcPr>
          <w:p w14:paraId="48123591"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4%</w:t>
            </w:r>
          </w:p>
        </w:tc>
        <w:tc>
          <w:tcPr>
            <w:tcW w:w="1140" w:type="dxa"/>
            <w:tcBorders>
              <w:top w:val="nil"/>
              <w:left w:val="nil"/>
              <w:bottom w:val="nil"/>
              <w:right w:val="nil"/>
            </w:tcBorders>
            <w:shd w:val="clear" w:color="auto" w:fill="auto"/>
            <w:noWrap/>
            <w:vAlign w:val="bottom"/>
            <w:hideMark/>
          </w:tcPr>
          <w:p w14:paraId="7D9DCE8B"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4%</w:t>
            </w:r>
          </w:p>
        </w:tc>
        <w:tc>
          <w:tcPr>
            <w:tcW w:w="1220" w:type="dxa"/>
            <w:tcBorders>
              <w:top w:val="nil"/>
              <w:left w:val="nil"/>
              <w:bottom w:val="nil"/>
              <w:right w:val="nil"/>
            </w:tcBorders>
            <w:shd w:val="clear" w:color="auto" w:fill="auto"/>
            <w:noWrap/>
            <w:vAlign w:val="bottom"/>
            <w:hideMark/>
          </w:tcPr>
          <w:p w14:paraId="2A09A6A7"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4%</w:t>
            </w:r>
          </w:p>
        </w:tc>
      </w:tr>
      <w:tr w:rsidR="00735E22" w:rsidRPr="00735E22" w14:paraId="211EC4BB" w14:textId="77777777" w:rsidTr="00735E22">
        <w:trPr>
          <w:trHeight w:val="315"/>
          <w:jc w:val="center"/>
        </w:trPr>
        <w:tc>
          <w:tcPr>
            <w:tcW w:w="1320" w:type="dxa"/>
            <w:tcBorders>
              <w:top w:val="nil"/>
              <w:left w:val="nil"/>
              <w:bottom w:val="single" w:sz="4" w:space="0" w:color="auto"/>
              <w:right w:val="nil"/>
            </w:tcBorders>
            <w:shd w:val="clear" w:color="auto" w:fill="auto"/>
            <w:noWrap/>
            <w:vAlign w:val="bottom"/>
            <w:hideMark/>
          </w:tcPr>
          <w:p w14:paraId="12274432" w14:textId="77777777" w:rsidR="00735E22" w:rsidRPr="00735E22" w:rsidRDefault="00735E22" w:rsidP="00735E22">
            <w:pPr>
              <w:spacing w:line="240" w:lineRule="auto"/>
              <w:rPr>
                <w:rFonts w:eastAsia="Times New Roman"/>
                <w:color w:val="000000"/>
              </w:rPr>
            </w:pPr>
            <w:r w:rsidRPr="00735E22">
              <w:rPr>
                <w:rFonts w:eastAsia="Times New Roman"/>
                <w:color w:val="000000"/>
              </w:rPr>
              <w:t>Obama</w:t>
            </w:r>
          </w:p>
        </w:tc>
        <w:tc>
          <w:tcPr>
            <w:tcW w:w="1420" w:type="dxa"/>
            <w:tcBorders>
              <w:top w:val="nil"/>
              <w:left w:val="nil"/>
              <w:bottom w:val="single" w:sz="4" w:space="0" w:color="auto"/>
              <w:right w:val="nil"/>
            </w:tcBorders>
            <w:shd w:val="clear" w:color="auto" w:fill="auto"/>
            <w:noWrap/>
            <w:vAlign w:val="bottom"/>
            <w:hideMark/>
          </w:tcPr>
          <w:p w14:paraId="076FE80B"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73%</w:t>
            </w:r>
          </w:p>
        </w:tc>
        <w:tc>
          <w:tcPr>
            <w:tcW w:w="1320" w:type="dxa"/>
            <w:tcBorders>
              <w:top w:val="nil"/>
              <w:left w:val="nil"/>
              <w:bottom w:val="single" w:sz="4" w:space="0" w:color="auto"/>
              <w:right w:val="nil"/>
            </w:tcBorders>
            <w:shd w:val="clear" w:color="auto" w:fill="auto"/>
            <w:noWrap/>
            <w:vAlign w:val="bottom"/>
            <w:hideMark/>
          </w:tcPr>
          <w:p w14:paraId="6B25921C"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17%</w:t>
            </w:r>
          </w:p>
        </w:tc>
        <w:tc>
          <w:tcPr>
            <w:tcW w:w="1420" w:type="dxa"/>
            <w:tcBorders>
              <w:top w:val="nil"/>
              <w:left w:val="nil"/>
              <w:bottom w:val="single" w:sz="4" w:space="0" w:color="auto"/>
              <w:right w:val="nil"/>
            </w:tcBorders>
            <w:shd w:val="clear" w:color="auto" w:fill="auto"/>
            <w:noWrap/>
            <w:vAlign w:val="bottom"/>
            <w:hideMark/>
          </w:tcPr>
          <w:p w14:paraId="1B632B25"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11%</w:t>
            </w:r>
          </w:p>
        </w:tc>
        <w:tc>
          <w:tcPr>
            <w:tcW w:w="1140" w:type="dxa"/>
            <w:tcBorders>
              <w:top w:val="nil"/>
              <w:left w:val="nil"/>
              <w:bottom w:val="single" w:sz="4" w:space="0" w:color="auto"/>
              <w:right w:val="nil"/>
            </w:tcBorders>
            <w:shd w:val="clear" w:color="auto" w:fill="auto"/>
            <w:noWrap/>
            <w:vAlign w:val="bottom"/>
            <w:hideMark/>
          </w:tcPr>
          <w:p w14:paraId="467ADE5E"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0%</w:t>
            </w:r>
          </w:p>
        </w:tc>
        <w:tc>
          <w:tcPr>
            <w:tcW w:w="1220" w:type="dxa"/>
            <w:tcBorders>
              <w:top w:val="nil"/>
              <w:left w:val="nil"/>
              <w:bottom w:val="single" w:sz="4" w:space="0" w:color="auto"/>
              <w:right w:val="nil"/>
            </w:tcBorders>
            <w:shd w:val="clear" w:color="auto" w:fill="auto"/>
            <w:noWrap/>
            <w:vAlign w:val="bottom"/>
            <w:hideMark/>
          </w:tcPr>
          <w:p w14:paraId="72B19144" w14:textId="77777777" w:rsidR="00735E22" w:rsidRPr="00735E22" w:rsidRDefault="00735E22" w:rsidP="00735E22">
            <w:pPr>
              <w:spacing w:line="240" w:lineRule="auto"/>
              <w:jc w:val="center"/>
              <w:rPr>
                <w:rFonts w:eastAsia="Times New Roman"/>
                <w:color w:val="000000"/>
              </w:rPr>
            </w:pPr>
            <w:r w:rsidRPr="00735E22">
              <w:rPr>
                <w:rFonts w:eastAsia="Times New Roman"/>
                <w:color w:val="000000"/>
              </w:rPr>
              <w:t>3%</w:t>
            </w:r>
          </w:p>
        </w:tc>
      </w:tr>
    </w:tbl>
    <w:p w14:paraId="270030BF" w14:textId="77777777" w:rsidR="00735E22" w:rsidRDefault="00735E22" w:rsidP="00735E22">
      <w:pPr>
        <w:spacing w:line="240" w:lineRule="auto"/>
        <w:ind w:left="720"/>
        <w:jc w:val="center"/>
        <w:rPr>
          <w:b/>
          <w:bCs/>
        </w:rPr>
      </w:pPr>
    </w:p>
    <w:p w14:paraId="56B39766" w14:textId="42C400AB" w:rsidR="005902CC" w:rsidRDefault="005902CC" w:rsidP="00184B75">
      <w:pPr>
        <w:spacing w:line="480" w:lineRule="auto"/>
        <w:ind w:left="720"/>
        <w:jc w:val="center"/>
        <w:rPr>
          <w:b/>
          <w:bCs/>
        </w:rPr>
      </w:pPr>
    </w:p>
    <w:p w14:paraId="745A6713" w14:textId="4B3144A1" w:rsidR="005902CC" w:rsidRDefault="005902CC" w:rsidP="00184B75">
      <w:pPr>
        <w:spacing w:line="480" w:lineRule="auto"/>
        <w:ind w:left="720"/>
        <w:jc w:val="center"/>
        <w:rPr>
          <w:b/>
          <w:bCs/>
        </w:rPr>
      </w:pPr>
    </w:p>
    <w:p w14:paraId="3C22B0BA" w14:textId="19E29A0D" w:rsidR="005902CC" w:rsidRDefault="005902CC" w:rsidP="00184B75">
      <w:pPr>
        <w:spacing w:line="480" w:lineRule="auto"/>
        <w:ind w:left="720"/>
        <w:jc w:val="center"/>
        <w:rPr>
          <w:b/>
          <w:bCs/>
        </w:rPr>
      </w:pPr>
    </w:p>
    <w:p w14:paraId="253CAD55" w14:textId="23D249BB" w:rsidR="005902CC" w:rsidRDefault="005902CC" w:rsidP="00184B75">
      <w:pPr>
        <w:spacing w:line="480" w:lineRule="auto"/>
        <w:ind w:left="720"/>
        <w:jc w:val="center"/>
        <w:rPr>
          <w:b/>
          <w:bCs/>
        </w:rPr>
      </w:pPr>
    </w:p>
    <w:p w14:paraId="55635915" w14:textId="5F5D65C6" w:rsidR="005902CC" w:rsidRDefault="005902CC" w:rsidP="00184B75">
      <w:pPr>
        <w:spacing w:line="480" w:lineRule="auto"/>
        <w:ind w:left="720"/>
        <w:jc w:val="center"/>
        <w:rPr>
          <w:b/>
          <w:bCs/>
        </w:rPr>
      </w:pPr>
    </w:p>
    <w:p w14:paraId="1D165365" w14:textId="7C8A03D5" w:rsidR="005902CC" w:rsidRDefault="005902CC" w:rsidP="00184B75">
      <w:pPr>
        <w:spacing w:line="480" w:lineRule="auto"/>
        <w:ind w:left="720"/>
        <w:jc w:val="center"/>
        <w:rPr>
          <w:b/>
          <w:bCs/>
        </w:rPr>
      </w:pPr>
    </w:p>
    <w:p w14:paraId="55C200C8" w14:textId="0EA4E2FC" w:rsidR="005902CC" w:rsidRDefault="005902CC" w:rsidP="00184B75">
      <w:pPr>
        <w:spacing w:line="480" w:lineRule="auto"/>
        <w:ind w:left="720"/>
        <w:jc w:val="center"/>
        <w:rPr>
          <w:b/>
          <w:bCs/>
        </w:rPr>
      </w:pPr>
    </w:p>
    <w:p w14:paraId="66A4875B" w14:textId="50E99589" w:rsidR="005902CC" w:rsidRDefault="005902CC" w:rsidP="00184B75">
      <w:pPr>
        <w:spacing w:line="480" w:lineRule="auto"/>
        <w:ind w:left="720"/>
        <w:jc w:val="center"/>
        <w:rPr>
          <w:b/>
          <w:bCs/>
        </w:rPr>
      </w:pPr>
    </w:p>
    <w:p w14:paraId="2C1A7CB1" w14:textId="0F2E5690" w:rsidR="005902CC" w:rsidRDefault="005902CC" w:rsidP="00184B75">
      <w:pPr>
        <w:spacing w:line="480" w:lineRule="auto"/>
        <w:ind w:left="720"/>
        <w:jc w:val="center"/>
        <w:rPr>
          <w:b/>
          <w:bCs/>
        </w:rPr>
      </w:pPr>
    </w:p>
    <w:p w14:paraId="7FBB97FE" w14:textId="5AC2E8A1" w:rsidR="005902CC" w:rsidRDefault="005902CC" w:rsidP="00184B75">
      <w:pPr>
        <w:spacing w:line="480" w:lineRule="auto"/>
        <w:ind w:left="720"/>
        <w:jc w:val="center"/>
        <w:rPr>
          <w:b/>
          <w:bCs/>
        </w:rPr>
      </w:pPr>
    </w:p>
    <w:p w14:paraId="02633DFC" w14:textId="344DA9B0" w:rsidR="005902CC" w:rsidRDefault="005902CC" w:rsidP="00184B75">
      <w:pPr>
        <w:spacing w:line="480" w:lineRule="auto"/>
        <w:ind w:left="720"/>
        <w:jc w:val="center"/>
        <w:rPr>
          <w:b/>
          <w:bCs/>
        </w:rPr>
      </w:pPr>
    </w:p>
    <w:p w14:paraId="2273A72C" w14:textId="49E1127C" w:rsidR="005902CC" w:rsidRDefault="005902CC" w:rsidP="00184B75">
      <w:pPr>
        <w:spacing w:line="480" w:lineRule="auto"/>
        <w:ind w:left="720"/>
        <w:jc w:val="center"/>
        <w:rPr>
          <w:b/>
          <w:bCs/>
        </w:rPr>
      </w:pPr>
    </w:p>
    <w:p w14:paraId="5A8EEE2B" w14:textId="3853E0A2" w:rsidR="005902CC" w:rsidRDefault="005902CC" w:rsidP="00184B75">
      <w:pPr>
        <w:spacing w:line="480" w:lineRule="auto"/>
        <w:ind w:left="720"/>
        <w:jc w:val="center"/>
        <w:rPr>
          <w:b/>
          <w:bCs/>
        </w:rPr>
      </w:pPr>
    </w:p>
    <w:p w14:paraId="04DD67BE" w14:textId="3CE1A30A" w:rsidR="005902CC" w:rsidRDefault="005902CC" w:rsidP="00184B75">
      <w:pPr>
        <w:spacing w:line="480" w:lineRule="auto"/>
        <w:ind w:left="720"/>
        <w:jc w:val="center"/>
        <w:rPr>
          <w:b/>
          <w:bCs/>
        </w:rPr>
      </w:pPr>
    </w:p>
    <w:p w14:paraId="37388742" w14:textId="0EA9B38A" w:rsidR="005902CC" w:rsidRDefault="005902CC" w:rsidP="00184B75">
      <w:pPr>
        <w:spacing w:line="480" w:lineRule="auto"/>
        <w:ind w:left="720"/>
        <w:jc w:val="center"/>
        <w:rPr>
          <w:b/>
          <w:bCs/>
        </w:rPr>
      </w:pPr>
    </w:p>
    <w:p w14:paraId="1F597054" w14:textId="45370D06" w:rsidR="005902CC" w:rsidRDefault="005902CC" w:rsidP="00184B75">
      <w:pPr>
        <w:spacing w:line="480" w:lineRule="auto"/>
        <w:ind w:left="720"/>
        <w:jc w:val="center"/>
        <w:rPr>
          <w:b/>
          <w:bCs/>
        </w:rPr>
      </w:pPr>
    </w:p>
    <w:p w14:paraId="5DA02123" w14:textId="77777777" w:rsidR="005902CC" w:rsidRDefault="005902CC" w:rsidP="00184B75">
      <w:pPr>
        <w:spacing w:line="480" w:lineRule="auto"/>
        <w:ind w:left="720"/>
        <w:jc w:val="center"/>
        <w:rPr>
          <w:b/>
          <w:bCs/>
        </w:rPr>
      </w:pPr>
    </w:p>
    <w:p w14:paraId="3787CB62" w14:textId="60E964C9" w:rsidR="005902CC" w:rsidRDefault="00184B75" w:rsidP="00FA0D3B">
      <w:pPr>
        <w:spacing w:line="240" w:lineRule="auto"/>
        <w:ind w:left="720"/>
        <w:jc w:val="center"/>
        <w:rPr>
          <w:b/>
          <w:bCs/>
        </w:rPr>
      </w:pPr>
      <w:r>
        <w:rPr>
          <w:b/>
          <w:bCs/>
        </w:rPr>
        <w:lastRenderedPageBreak/>
        <w:t>Table</w:t>
      </w:r>
      <w:r w:rsidR="005902CC">
        <w:rPr>
          <w:b/>
          <w:bCs/>
        </w:rPr>
        <w:t xml:space="preserve"> 4</w:t>
      </w:r>
      <w:r>
        <w:rPr>
          <w:b/>
          <w:bCs/>
        </w:rPr>
        <w:t>: Percentage of All USAs Appointed by President</w:t>
      </w:r>
    </w:p>
    <w:tbl>
      <w:tblPr>
        <w:tblW w:w="4389" w:type="dxa"/>
        <w:jc w:val="center"/>
        <w:tblLook w:val="04A0" w:firstRow="1" w:lastRow="0" w:firstColumn="1" w:lastColumn="0" w:noHBand="0" w:noVBand="1"/>
      </w:tblPr>
      <w:tblGrid>
        <w:gridCol w:w="1480"/>
        <w:gridCol w:w="1429"/>
        <w:gridCol w:w="1480"/>
      </w:tblGrid>
      <w:tr w:rsidR="00FA0D3B" w:rsidRPr="00FA0D3B" w14:paraId="50C6FD0E" w14:textId="77777777" w:rsidTr="008B1672">
        <w:trPr>
          <w:trHeight w:val="630"/>
          <w:jc w:val="center"/>
        </w:trPr>
        <w:tc>
          <w:tcPr>
            <w:tcW w:w="1480" w:type="dxa"/>
            <w:tcBorders>
              <w:top w:val="single" w:sz="4" w:space="0" w:color="auto"/>
              <w:left w:val="nil"/>
              <w:bottom w:val="single" w:sz="4" w:space="0" w:color="auto"/>
              <w:right w:val="nil"/>
            </w:tcBorders>
            <w:shd w:val="clear" w:color="auto" w:fill="auto"/>
            <w:noWrap/>
            <w:vAlign w:val="bottom"/>
            <w:hideMark/>
          </w:tcPr>
          <w:p w14:paraId="2C2AF7DF" w14:textId="77777777" w:rsidR="00FA0D3B" w:rsidRPr="00FA0D3B" w:rsidRDefault="00FA0D3B" w:rsidP="00FA0D3B">
            <w:pPr>
              <w:spacing w:line="240" w:lineRule="auto"/>
              <w:rPr>
                <w:rFonts w:eastAsia="Times New Roman"/>
                <w:color w:val="000000"/>
              </w:rPr>
            </w:pPr>
            <w:r w:rsidRPr="00FA0D3B">
              <w:rPr>
                <w:rFonts w:eastAsia="Times New Roman"/>
                <w:color w:val="000000"/>
              </w:rPr>
              <w:t> </w:t>
            </w:r>
          </w:p>
        </w:tc>
        <w:tc>
          <w:tcPr>
            <w:tcW w:w="1429" w:type="dxa"/>
            <w:tcBorders>
              <w:top w:val="single" w:sz="4" w:space="0" w:color="auto"/>
              <w:left w:val="nil"/>
              <w:bottom w:val="single" w:sz="4" w:space="0" w:color="auto"/>
              <w:right w:val="nil"/>
            </w:tcBorders>
            <w:shd w:val="clear" w:color="auto" w:fill="auto"/>
            <w:vAlign w:val="bottom"/>
            <w:hideMark/>
          </w:tcPr>
          <w:p w14:paraId="0773E46E"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 Fed. Bureaucracy</w:t>
            </w:r>
          </w:p>
        </w:tc>
        <w:tc>
          <w:tcPr>
            <w:tcW w:w="1480" w:type="dxa"/>
            <w:tcBorders>
              <w:top w:val="single" w:sz="4" w:space="0" w:color="auto"/>
              <w:left w:val="nil"/>
              <w:bottom w:val="single" w:sz="4" w:space="0" w:color="auto"/>
              <w:right w:val="nil"/>
            </w:tcBorders>
            <w:shd w:val="clear" w:color="auto" w:fill="auto"/>
            <w:vAlign w:val="bottom"/>
            <w:hideMark/>
          </w:tcPr>
          <w:p w14:paraId="040F0F34"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 Fed. Judiciary</w:t>
            </w:r>
          </w:p>
        </w:tc>
      </w:tr>
      <w:tr w:rsidR="00FA0D3B" w:rsidRPr="00FA0D3B" w14:paraId="52A24BE0" w14:textId="77777777" w:rsidTr="008B1672">
        <w:trPr>
          <w:trHeight w:val="315"/>
          <w:jc w:val="center"/>
        </w:trPr>
        <w:tc>
          <w:tcPr>
            <w:tcW w:w="1480" w:type="dxa"/>
            <w:tcBorders>
              <w:top w:val="nil"/>
              <w:left w:val="nil"/>
              <w:bottom w:val="nil"/>
              <w:right w:val="nil"/>
            </w:tcBorders>
            <w:shd w:val="clear" w:color="auto" w:fill="auto"/>
            <w:noWrap/>
            <w:vAlign w:val="bottom"/>
            <w:hideMark/>
          </w:tcPr>
          <w:p w14:paraId="7CE6E0A4" w14:textId="77777777" w:rsidR="00FA0D3B" w:rsidRPr="00FA0D3B" w:rsidRDefault="00FA0D3B" w:rsidP="00FA0D3B">
            <w:pPr>
              <w:spacing w:line="240" w:lineRule="auto"/>
              <w:rPr>
                <w:rFonts w:eastAsia="Times New Roman"/>
                <w:color w:val="000000"/>
              </w:rPr>
            </w:pPr>
            <w:r w:rsidRPr="00FA0D3B">
              <w:rPr>
                <w:rFonts w:eastAsia="Times New Roman"/>
                <w:color w:val="000000"/>
              </w:rPr>
              <w:t>Reagan</w:t>
            </w:r>
          </w:p>
        </w:tc>
        <w:tc>
          <w:tcPr>
            <w:tcW w:w="1429" w:type="dxa"/>
            <w:tcBorders>
              <w:top w:val="nil"/>
              <w:left w:val="nil"/>
              <w:bottom w:val="nil"/>
              <w:right w:val="nil"/>
            </w:tcBorders>
            <w:shd w:val="clear" w:color="auto" w:fill="auto"/>
            <w:noWrap/>
            <w:vAlign w:val="bottom"/>
            <w:hideMark/>
          </w:tcPr>
          <w:p w14:paraId="4044FC9F"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13%</w:t>
            </w:r>
          </w:p>
        </w:tc>
        <w:tc>
          <w:tcPr>
            <w:tcW w:w="1480" w:type="dxa"/>
            <w:tcBorders>
              <w:top w:val="nil"/>
              <w:left w:val="nil"/>
              <w:bottom w:val="nil"/>
              <w:right w:val="nil"/>
            </w:tcBorders>
            <w:shd w:val="clear" w:color="auto" w:fill="auto"/>
            <w:noWrap/>
            <w:vAlign w:val="bottom"/>
            <w:hideMark/>
          </w:tcPr>
          <w:p w14:paraId="319C4225"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11%</w:t>
            </w:r>
          </w:p>
        </w:tc>
      </w:tr>
      <w:tr w:rsidR="00FA0D3B" w:rsidRPr="00FA0D3B" w14:paraId="03802BEA" w14:textId="77777777" w:rsidTr="008B1672">
        <w:trPr>
          <w:trHeight w:val="315"/>
          <w:jc w:val="center"/>
        </w:trPr>
        <w:tc>
          <w:tcPr>
            <w:tcW w:w="1480" w:type="dxa"/>
            <w:tcBorders>
              <w:top w:val="nil"/>
              <w:left w:val="nil"/>
              <w:bottom w:val="nil"/>
              <w:right w:val="nil"/>
            </w:tcBorders>
            <w:shd w:val="clear" w:color="auto" w:fill="auto"/>
            <w:noWrap/>
            <w:vAlign w:val="bottom"/>
            <w:hideMark/>
          </w:tcPr>
          <w:p w14:paraId="3745A053" w14:textId="77777777" w:rsidR="00FA0D3B" w:rsidRPr="00FA0D3B" w:rsidRDefault="00FA0D3B" w:rsidP="00FA0D3B">
            <w:pPr>
              <w:spacing w:line="240" w:lineRule="auto"/>
              <w:rPr>
                <w:rFonts w:eastAsia="Times New Roman"/>
                <w:color w:val="000000"/>
              </w:rPr>
            </w:pPr>
            <w:r w:rsidRPr="00FA0D3B">
              <w:rPr>
                <w:rFonts w:eastAsia="Times New Roman"/>
                <w:color w:val="000000"/>
              </w:rPr>
              <w:t>H.W. Bush</w:t>
            </w:r>
          </w:p>
        </w:tc>
        <w:tc>
          <w:tcPr>
            <w:tcW w:w="1429" w:type="dxa"/>
            <w:tcBorders>
              <w:top w:val="nil"/>
              <w:left w:val="nil"/>
              <w:bottom w:val="nil"/>
              <w:right w:val="nil"/>
            </w:tcBorders>
            <w:shd w:val="clear" w:color="auto" w:fill="auto"/>
            <w:noWrap/>
            <w:vAlign w:val="bottom"/>
            <w:hideMark/>
          </w:tcPr>
          <w:p w14:paraId="052462BA"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9%</w:t>
            </w:r>
          </w:p>
        </w:tc>
        <w:tc>
          <w:tcPr>
            <w:tcW w:w="1480" w:type="dxa"/>
            <w:tcBorders>
              <w:top w:val="nil"/>
              <w:left w:val="nil"/>
              <w:bottom w:val="nil"/>
              <w:right w:val="nil"/>
            </w:tcBorders>
            <w:shd w:val="clear" w:color="auto" w:fill="auto"/>
            <w:noWrap/>
            <w:vAlign w:val="bottom"/>
            <w:hideMark/>
          </w:tcPr>
          <w:p w14:paraId="5FEC337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5%</w:t>
            </w:r>
          </w:p>
        </w:tc>
      </w:tr>
      <w:tr w:rsidR="00FA0D3B" w:rsidRPr="00FA0D3B" w14:paraId="1898F312" w14:textId="77777777" w:rsidTr="008B1672">
        <w:trPr>
          <w:trHeight w:val="315"/>
          <w:jc w:val="center"/>
        </w:trPr>
        <w:tc>
          <w:tcPr>
            <w:tcW w:w="1480" w:type="dxa"/>
            <w:tcBorders>
              <w:top w:val="nil"/>
              <w:left w:val="nil"/>
              <w:bottom w:val="nil"/>
              <w:right w:val="nil"/>
            </w:tcBorders>
            <w:shd w:val="clear" w:color="auto" w:fill="auto"/>
            <w:noWrap/>
            <w:vAlign w:val="bottom"/>
            <w:hideMark/>
          </w:tcPr>
          <w:p w14:paraId="672159E4" w14:textId="77777777" w:rsidR="00FA0D3B" w:rsidRPr="00FA0D3B" w:rsidRDefault="00FA0D3B" w:rsidP="00FA0D3B">
            <w:pPr>
              <w:spacing w:line="240" w:lineRule="auto"/>
              <w:rPr>
                <w:rFonts w:eastAsia="Times New Roman"/>
                <w:color w:val="000000"/>
              </w:rPr>
            </w:pPr>
            <w:r w:rsidRPr="00FA0D3B">
              <w:rPr>
                <w:rFonts w:eastAsia="Times New Roman"/>
                <w:color w:val="000000"/>
              </w:rPr>
              <w:t>Clinton</w:t>
            </w:r>
          </w:p>
        </w:tc>
        <w:tc>
          <w:tcPr>
            <w:tcW w:w="1429" w:type="dxa"/>
            <w:tcBorders>
              <w:top w:val="nil"/>
              <w:left w:val="nil"/>
              <w:bottom w:val="nil"/>
              <w:right w:val="nil"/>
            </w:tcBorders>
            <w:shd w:val="clear" w:color="auto" w:fill="auto"/>
            <w:noWrap/>
            <w:vAlign w:val="bottom"/>
            <w:hideMark/>
          </w:tcPr>
          <w:p w14:paraId="05826E47"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7%</w:t>
            </w:r>
          </w:p>
        </w:tc>
        <w:tc>
          <w:tcPr>
            <w:tcW w:w="1480" w:type="dxa"/>
            <w:tcBorders>
              <w:top w:val="nil"/>
              <w:left w:val="nil"/>
              <w:bottom w:val="nil"/>
              <w:right w:val="nil"/>
            </w:tcBorders>
            <w:shd w:val="clear" w:color="auto" w:fill="auto"/>
            <w:noWrap/>
            <w:vAlign w:val="bottom"/>
            <w:hideMark/>
          </w:tcPr>
          <w:p w14:paraId="77CD433A"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7%</w:t>
            </w:r>
          </w:p>
        </w:tc>
      </w:tr>
      <w:tr w:rsidR="00FA0D3B" w:rsidRPr="00FA0D3B" w14:paraId="2F8A246C" w14:textId="77777777" w:rsidTr="008B1672">
        <w:trPr>
          <w:trHeight w:val="315"/>
          <w:jc w:val="center"/>
        </w:trPr>
        <w:tc>
          <w:tcPr>
            <w:tcW w:w="1480" w:type="dxa"/>
            <w:tcBorders>
              <w:top w:val="nil"/>
              <w:left w:val="nil"/>
              <w:bottom w:val="nil"/>
              <w:right w:val="nil"/>
            </w:tcBorders>
            <w:shd w:val="clear" w:color="auto" w:fill="auto"/>
            <w:noWrap/>
            <w:vAlign w:val="bottom"/>
            <w:hideMark/>
          </w:tcPr>
          <w:p w14:paraId="3EB1BBB3" w14:textId="77777777" w:rsidR="00FA0D3B" w:rsidRPr="00FA0D3B" w:rsidRDefault="00FA0D3B" w:rsidP="00FA0D3B">
            <w:pPr>
              <w:spacing w:line="240" w:lineRule="auto"/>
              <w:rPr>
                <w:rFonts w:eastAsia="Times New Roman"/>
                <w:color w:val="000000"/>
              </w:rPr>
            </w:pPr>
            <w:r w:rsidRPr="00FA0D3B">
              <w:rPr>
                <w:rFonts w:eastAsia="Times New Roman"/>
                <w:color w:val="000000"/>
              </w:rPr>
              <w:t>W. Bush</w:t>
            </w:r>
          </w:p>
        </w:tc>
        <w:tc>
          <w:tcPr>
            <w:tcW w:w="1429" w:type="dxa"/>
            <w:tcBorders>
              <w:top w:val="nil"/>
              <w:left w:val="nil"/>
              <w:bottom w:val="nil"/>
              <w:right w:val="nil"/>
            </w:tcBorders>
            <w:shd w:val="clear" w:color="auto" w:fill="auto"/>
            <w:noWrap/>
            <w:vAlign w:val="bottom"/>
            <w:hideMark/>
          </w:tcPr>
          <w:p w14:paraId="437AAAC7"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7%</w:t>
            </w:r>
          </w:p>
        </w:tc>
        <w:tc>
          <w:tcPr>
            <w:tcW w:w="1480" w:type="dxa"/>
            <w:tcBorders>
              <w:top w:val="nil"/>
              <w:left w:val="nil"/>
              <w:bottom w:val="nil"/>
              <w:right w:val="nil"/>
            </w:tcBorders>
            <w:shd w:val="clear" w:color="auto" w:fill="auto"/>
            <w:noWrap/>
            <w:vAlign w:val="bottom"/>
            <w:hideMark/>
          </w:tcPr>
          <w:p w14:paraId="53F66B95"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14%</w:t>
            </w:r>
          </w:p>
        </w:tc>
      </w:tr>
      <w:tr w:rsidR="00FA0D3B" w:rsidRPr="00FA0D3B" w14:paraId="70E7FFBC" w14:textId="77777777" w:rsidTr="008B1672">
        <w:trPr>
          <w:trHeight w:val="315"/>
          <w:jc w:val="center"/>
        </w:trPr>
        <w:tc>
          <w:tcPr>
            <w:tcW w:w="1480" w:type="dxa"/>
            <w:tcBorders>
              <w:top w:val="nil"/>
              <w:left w:val="nil"/>
              <w:bottom w:val="single" w:sz="4" w:space="0" w:color="auto"/>
              <w:right w:val="nil"/>
            </w:tcBorders>
            <w:shd w:val="clear" w:color="auto" w:fill="auto"/>
            <w:noWrap/>
            <w:vAlign w:val="bottom"/>
            <w:hideMark/>
          </w:tcPr>
          <w:p w14:paraId="61A40F49" w14:textId="77777777" w:rsidR="00FA0D3B" w:rsidRPr="00FA0D3B" w:rsidRDefault="00FA0D3B" w:rsidP="00FA0D3B">
            <w:pPr>
              <w:spacing w:line="240" w:lineRule="auto"/>
              <w:rPr>
                <w:rFonts w:eastAsia="Times New Roman"/>
                <w:color w:val="000000"/>
              </w:rPr>
            </w:pPr>
            <w:r w:rsidRPr="00FA0D3B">
              <w:rPr>
                <w:rFonts w:eastAsia="Times New Roman"/>
                <w:color w:val="000000"/>
              </w:rPr>
              <w:t>Obama</w:t>
            </w:r>
          </w:p>
        </w:tc>
        <w:tc>
          <w:tcPr>
            <w:tcW w:w="1429" w:type="dxa"/>
            <w:tcBorders>
              <w:top w:val="nil"/>
              <w:left w:val="nil"/>
              <w:bottom w:val="single" w:sz="4" w:space="0" w:color="auto"/>
              <w:right w:val="nil"/>
            </w:tcBorders>
            <w:shd w:val="clear" w:color="auto" w:fill="auto"/>
            <w:noWrap/>
            <w:vAlign w:val="bottom"/>
            <w:hideMark/>
          </w:tcPr>
          <w:p w14:paraId="6DEB4B5E"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6%</w:t>
            </w:r>
          </w:p>
        </w:tc>
        <w:tc>
          <w:tcPr>
            <w:tcW w:w="1480" w:type="dxa"/>
            <w:tcBorders>
              <w:top w:val="nil"/>
              <w:left w:val="nil"/>
              <w:bottom w:val="single" w:sz="4" w:space="0" w:color="auto"/>
              <w:right w:val="nil"/>
            </w:tcBorders>
            <w:shd w:val="clear" w:color="auto" w:fill="auto"/>
            <w:noWrap/>
            <w:vAlign w:val="bottom"/>
            <w:hideMark/>
          </w:tcPr>
          <w:p w14:paraId="76B74BE8"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13%</w:t>
            </w:r>
          </w:p>
        </w:tc>
      </w:tr>
    </w:tbl>
    <w:p w14:paraId="57E10084" w14:textId="77777777" w:rsidR="005902CC" w:rsidRDefault="005902CC" w:rsidP="00FA0D3B">
      <w:pPr>
        <w:spacing w:line="240" w:lineRule="auto"/>
        <w:ind w:left="720"/>
        <w:jc w:val="center"/>
        <w:rPr>
          <w:b/>
          <w:bCs/>
        </w:rPr>
      </w:pPr>
    </w:p>
    <w:p w14:paraId="6EF0083D" w14:textId="77777777" w:rsidR="005902CC" w:rsidRDefault="005902CC" w:rsidP="00184B75">
      <w:pPr>
        <w:spacing w:line="480" w:lineRule="auto"/>
        <w:ind w:left="720"/>
        <w:jc w:val="center"/>
        <w:rPr>
          <w:b/>
          <w:bCs/>
        </w:rPr>
      </w:pPr>
    </w:p>
    <w:p w14:paraId="7FE84B0D" w14:textId="77777777" w:rsidR="005902CC" w:rsidRDefault="005902CC" w:rsidP="00184B75">
      <w:pPr>
        <w:spacing w:line="480" w:lineRule="auto"/>
        <w:ind w:left="720"/>
        <w:jc w:val="center"/>
        <w:rPr>
          <w:b/>
          <w:bCs/>
        </w:rPr>
      </w:pPr>
    </w:p>
    <w:p w14:paraId="09324416" w14:textId="77777777" w:rsidR="005902CC" w:rsidRDefault="005902CC" w:rsidP="00184B75">
      <w:pPr>
        <w:spacing w:line="480" w:lineRule="auto"/>
        <w:ind w:left="720"/>
        <w:jc w:val="center"/>
        <w:rPr>
          <w:b/>
          <w:bCs/>
        </w:rPr>
      </w:pPr>
    </w:p>
    <w:p w14:paraId="62485F2F" w14:textId="77777777" w:rsidR="005902CC" w:rsidRDefault="005902CC" w:rsidP="00184B75">
      <w:pPr>
        <w:spacing w:line="480" w:lineRule="auto"/>
        <w:ind w:left="720"/>
        <w:jc w:val="center"/>
        <w:rPr>
          <w:b/>
          <w:bCs/>
        </w:rPr>
      </w:pPr>
    </w:p>
    <w:p w14:paraId="61F78DFE" w14:textId="77777777" w:rsidR="005902CC" w:rsidRDefault="005902CC" w:rsidP="00184B75">
      <w:pPr>
        <w:spacing w:line="480" w:lineRule="auto"/>
        <w:ind w:left="720"/>
        <w:jc w:val="center"/>
        <w:rPr>
          <w:b/>
          <w:bCs/>
        </w:rPr>
      </w:pPr>
    </w:p>
    <w:p w14:paraId="709CD4D8" w14:textId="77777777" w:rsidR="005902CC" w:rsidRDefault="005902CC" w:rsidP="00184B75">
      <w:pPr>
        <w:spacing w:line="480" w:lineRule="auto"/>
        <w:ind w:left="720"/>
        <w:jc w:val="center"/>
        <w:rPr>
          <w:b/>
          <w:bCs/>
        </w:rPr>
      </w:pPr>
    </w:p>
    <w:p w14:paraId="1710E8AA" w14:textId="77777777" w:rsidR="005902CC" w:rsidRDefault="005902CC" w:rsidP="00184B75">
      <w:pPr>
        <w:spacing w:line="480" w:lineRule="auto"/>
        <w:ind w:left="720"/>
        <w:jc w:val="center"/>
        <w:rPr>
          <w:b/>
          <w:bCs/>
        </w:rPr>
      </w:pPr>
    </w:p>
    <w:p w14:paraId="537521DB" w14:textId="77777777" w:rsidR="005902CC" w:rsidRDefault="005902CC" w:rsidP="00184B75">
      <w:pPr>
        <w:spacing w:line="480" w:lineRule="auto"/>
        <w:ind w:left="720"/>
        <w:jc w:val="center"/>
        <w:rPr>
          <w:b/>
          <w:bCs/>
        </w:rPr>
      </w:pPr>
    </w:p>
    <w:p w14:paraId="608EAC8E" w14:textId="77777777" w:rsidR="005902CC" w:rsidRDefault="005902CC" w:rsidP="00184B75">
      <w:pPr>
        <w:spacing w:line="480" w:lineRule="auto"/>
        <w:ind w:left="720"/>
        <w:jc w:val="center"/>
        <w:rPr>
          <w:b/>
          <w:bCs/>
        </w:rPr>
      </w:pPr>
    </w:p>
    <w:p w14:paraId="014A6630" w14:textId="77777777" w:rsidR="005902CC" w:rsidRDefault="005902CC" w:rsidP="00184B75">
      <w:pPr>
        <w:spacing w:line="480" w:lineRule="auto"/>
        <w:ind w:left="720"/>
        <w:jc w:val="center"/>
        <w:rPr>
          <w:b/>
          <w:bCs/>
        </w:rPr>
      </w:pPr>
    </w:p>
    <w:p w14:paraId="6DBAE68B" w14:textId="77777777" w:rsidR="005902CC" w:rsidRDefault="005902CC" w:rsidP="00184B75">
      <w:pPr>
        <w:spacing w:line="480" w:lineRule="auto"/>
        <w:ind w:left="720"/>
        <w:jc w:val="center"/>
        <w:rPr>
          <w:b/>
          <w:bCs/>
        </w:rPr>
      </w:pPr>
    </w:p>
    <w:p w14:paraId="38275DE1" w14:textId="77777777" w:rsidR="005902CC" w:rsidRDefault="005902CC" w:rsidP="00184B75">
      <w:pPr>
        <w:spacing w:line="480" w:lineRule="auto"/>
        <w:ind w:left="720"/>
        <w:jc w:val="center"/>
        <w:rPr>
          <w:b/>
          <w:bCs/>
        </w:rPr>
      </w:pPr>
    </w:p>
    <w:p w14:paraId="6CDA204F" w14:textId="77777777" w:rsidR="005902CC" w:rsidRDefault="005902CC" w:rsidP="00184B75">
      <w:pPr>
        <w:spacing w:line="480" w:lineRule="auto"/>
        <w:ind w:left="720"/>
        <w:jc w:val="center"/>
        <w:rPr>
          <w:b/>
          <w:bCs/>
        </w:rPr>
      </w:pPr>
    </w:p>
    <w:p w14:paraId="00139954" w14:textId="77777777" w:rsidR="005902CC" w:rsidRDefault="005902CC" w:rsidP="00184B75">
      <w:pPr>
        <w:spacing w:line="480" w:lineRule="auto"/>
        <w:ind w:left="720"/>
        <w:jc w:val="center"/>
        <w:rPr>
          <w:b/>
          <w:bCs/>
        </w:rPr>
      </w:pPr>
    </w:p>
    <w:p w14:paraId="5FFE4590" w14:textId="77777777" w:rsidR="005902CC" w:rsidRDefault="005902CC" w:rsidP="00184B75">
      <w:pPr>
        <w:spacing w:line="480" w:lineRule="auto"/>
        <w:ind w:left="720"/>
        <w:jc w:val="center"/>
        <w:rPr>
          <w:b/>
          <w:bCs/>
        </w:rPr>
      </w:pPr>
    </w:p>
    <w:p w14:paraId="252B288B" w14:textId="2E71F324" w:rsidR="005902CC" w:rsidRDefault="005902CC" w:rsidP="00184B75">
      <w:pPr>
        <w:spacing w:line="480" w:lineRule="auto"/>
        <w:ind w:left="720"/>
        <w:jc w:val="center"/>
        <w:rPr>
          <w:b/>
          <w:bCs/>
        </w:rPr>
      </w:pPr>
    </w:p>
    <w:p w14:paraId="6DAF86A5" w14:textId="77777777" w:rsidR="008B1672" w:rsidRDefault="008B1672" w:rsidP="00184B75">
      <w:pPr>
        <w:spacing w:line="480" w:lineRule="auto"/>
        <w:ind w:left="720"/>
        <w:jc w:val="center"/>
        <w:rPr>
          <w:b/>
          <w:bCs/>
        </w:rPr>
      </w:pPr>
    </w:p>
    <w:p w14:paraId="5402930F" w14:textId="77777777" w:rsidR="005902CC" w:rsidRDefault="005902CC" w:rsidP="00184B75">
      <w:pPr>
        <w:spacing w:line="480" w:lineRule="auto"/>
        <w:ind w:left="720"/>
        <w:jc w:val="center"/>
        <w:rPr>
          <w:b/>
          <w:bCs/>
        </w:rPr>
      </w:pPr>
    </w:p>
    <w:p w14:paraId="386316B5" w14:textId="23FF1C07" w:rsidR="005902CC" w:rsidRDefault="00184B75" w:rsidP="008301D3">
      <w:pPr>
        <w:spacing w:line="240" w:lineRule="auto"/>
        <w:ind w:left="720"/>
        <w:jc w:val="center"/>
        <w:rPr>
          <w:b/>
          <w:bCs/>
        </w:rPr>
      </w:pPr>
      <w:r>
        <w:rPr>
          <w:b/>
          <w:bCs/>
        </w:rPr>
        <w:lastRenderedPageBreak/>
        <w:t xml:space="preserve">Table </w:t>
      </w:r>
      <w:r w:rsidR="005902CC">
        <w:rPr>
          <w:b/>
          <w:bCs/>
        </w:rPr>
        <w:t>5</w:t>
      </w:r>
      <w:r>
        <w:rPr>
          <w:b/>
          <w:bCs/>
        </w:rPr>
        <w:t>: Percentage of Nontraditional USAs Appointed by President</w:t>
      </w:r>
    </w:p>
    <w:tbl>
      <w:tblPr>
        <w:tblW w:w="4209" w:type="dxa"/>
        <w:jc w:val="center"/>
        <w:tblLook w:val="04A0" w:firstRow="1" w:lastRow="0" w:firstColumn="1" w:lastColumn="0" w:noHBand="0" w:noVBand="1"/>
      </w:tblPr>
      <w:tblGrid>
        <w:gridCol w:w="1300"/>
        <w:gridCol w:w="1429"/>
        <w:gridCol w:w="1480"/>
      </w:tblGrid>
      <w:tr w:rsidR="008301D3" w:rsidRPr="008301D3" w14:paraId="32513E09" w14:textId="77777777" w:rsidTr="009C724A">
        <w:trPr>
          <w:trHeight w:val="630"/>
          <w:jc w:val="center"/>
        </w:trPr>
        <w:tc>
          <w:tcPr>
            <w:tcW w:w="1300" w:type="dxa"/>
            <w:tcBorders>
              <w:top w:val="single" w:sz="4" w:space="0" w:color="auto"/>
              <w:left w:val="nil"/>
              <w:bottom w:val="single" w:sz="4" w:space="0" w:color="auto"/>
              <w:right w:val="nil"/>
            </w:tcBorders>
            <w:shd w:val="clear" w:color="auto" w:fill="auto"/>
            <w:noWrap/>
            <w:vAlign w:val="bottom"/>
            <w:hideMark/>
          </w:tcPr>
          <w:p w14:paraId="034BDBFC" w14:textId="77777777" w:rsidR="008301D3" w:rsidRPr="008301D3" w:rsidRDefault="008301D3" w:rsidP="008301D3">
            <w:pPr>
              <w:spacing w:line="240" w:lineRule="auto"/>
              <w:rPr>
                <w:rFonts w:eastAsia="Times New Roman"/>
                <w:color w:val="000000"/>
              </w:rPr>
            </w:pPr>
            <w:r w:rsidRPr="008301D3">
              <w:rPr>
                <w:rFonts w:eastAsia="Times New Roman"/>
                <w:color w:val="000000"/>
              </w:rPr>
              <w:t> </w:t>
            </w:r>
          </w:p>
        </w:tc>
        <w:tc>
          <w:tcPr>
            <w:tcW w:w="1429" w:type="dxa"/>
            <w:tcBorders>
              <w:top w:val="single" w:sz="4" w:space="0" w:color="auto"/>
              <w:left w:val="nil"/>
              <w:bottom w:val="single" w:sz="4" w:space="0" w:color="auto"/>
              <w:right w:val="nil"/>
            </w:tcBorders>
            <w:shd w:val="clear" w:color="auto" w:fill="auto"/>
            <w:vAlign w:val="bottom"/>
            <w:hideMark/>
          </w:tcPr>
          <w:p w14:paraId="10430876"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 Fed. Bureaucracy</w:t>
            </w:r>
          </w:p>
        </w:tc>
        <w:tc>
          <w:tcPr>
            <w:tcW w:w="1480" w:type="dxa"/>
            <w:tcBorders>
              <w:top w:val="single" w:sz="4" w:space="0" w:color="auto"/>
              <w:left w:val="nil"/>
              <w:bottom w:val="single" w:sz="4" w:space="0" w:color="auto"/>
              <w:right w:val="nil"/>
            </w:tcBorders>
            <w:shd w:val="clear" w:color="auto" w:fill="auto"/>
            <w:vAlign w:val="bottom"/>
            <w:hideMark/>
          </w:tcPr>
          <w:p w14:paraId="76A851A6"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 Fed. Judiciary</w:t>
            </w:r>
          </w:p>
        </w:tc>
      </w:tr>
      <w:tr w:rsidR="008301D3" w:rsidRPr="008301D3" w14:paraId="785E622D" w14:textId="77777777" w:rsidTr="009C724A">
        <w:trPr>
          <w:trHeight w:val="315"/>
          <w:jc w:val="center"/>
        </w:trPr>
        <w:tc>
          <w:tcPr>
            <w:tcW w:w="1300" w:type="dxa"/>
            <w:tcBorders>
              <w:top w:val="nil"/>
              <w:left w:val="nil"/>
              <w:bottom w:val="nil"/>
              <w:right w:val="nil"/>
            </w:tcBorders>
            <w:shd w:val="clear" w:color="auto" w:fill="auto"/>
            <w:noWrap/>
            <w:vAlign w:val="bottom"/>
            <w:hideMark/>
          </w:tcPr>
          <w:p w14:paraId="71C5B0B7" w14:textId="77777777" w:rsidR="008301D3" w:rsidRPr="008301D3" w:rsidRDefault="008301D3" w:rsidP="008301D3">
            <w:pPr>
              <w:spacing w:line="240" w:lineRule="auto"/>
              <w:rPr>
                <w:rFonts w:eastAsia="Times New Roman"/>
                <w:color w:val="000000"/>
              </w:rPr>
            </w:pPr>
            <w:r w:rsidRPr="008301D3">
              <w:rPr>
                <w:rFonts w:eastAsia="Times New Roman"/>
                <w:color w:val="000000"/>
              </w:rPr>
              <w:t>Reagan</w:t>
            </w:r>
          </w:p>
        </w:tc>
        <w:tc>
          <w:tcPr>
            <w:tcW w:w="1429" w:type="dxa"/>
            <w:tcBorders>
              <w:top w:val="nil"/>
              <w:left w:val="nil"/>
              <w:bottom w:val="nil"/>
              <w:right w:val="nil"/>
            </w:tcBorders>
            <w:shd w:val="clear" w:color="auto" w:fill="auto"/>
            <w:noWrap/>
            <w:vAlign w:val="bottom"/>
            <w:hideMark/>
          </w:tcPr>
          <w:p w14:paraId="48194754"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100%</w:t>
            </w:r>
          </w:p>
        </w:tc>
        <w:tc>
          <w:tcPr>
            <w:tcW w:w="1480" w:type="dxa"/>
            <w:tcBorders>
              <w:top w:val="nil"/>
              <w:left w:val="nil"/>
              <w:bottom w:val="nil"/>
              <w:right w:val="nil"/>
            </w:tcBorders>
            <w:shd w:val="clear" w:color="auto" w:fill="auto"/>
            <w:noWrap/>
            <w:vAlign w:val="bottom"/>
            <w:hideMark/>
          </w:tcPr>
          <w:p w14:paraId="0CD23C42"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0%</w:t>
            </w:r>
          </w:p>
        </w:tc>
      </w:tr>
      <w:tr w:rsidR="008301D3" w:rsidRPr="008301D3" w14:paraId="657F4904" w14:textId="77777777" w:rsidTr="009C724A">
        <w:trPr>
          <w:trHeight w:val="315"/>
          <w:jc w:val="center"/>
        </w:trPr>
        <w:tc>
          <w:tcPr>
            <w:tcW w:w="1300" w:type="dxa"/>
            <w:tcBorders>
              <w:top w:val="nil"/>
              <w:left w:val="nil"/>
              <w:bottom w:val="nil"/>
              <w:right w:val="nil"/>
            </w:tcBorders>
            <w:shd w:val="clear" w:color="auto" w:fill="auto"/>
            <w:noWrap/>
            <w:vAlign w:val="bottom"/>
            <w:hideMark/>
          </w:tcPr>
          <w:p w14:paraId="57E94D03" w14:textId="77777777" w:rsidR="008301D3" w:rsidRPr="008301D3" w:rsidRDefault="008301D3" w:rsidP="008301D3">
            <w:pPr>
              <w:spacing w:line="240" w:lineRule="auto"/>
              <w:rPr>
                <w:rFonts w:eastAsia="Times New Roman"/>
                <w:color w:val="000000"/>
              </w:rPr>
            </w:pPr>
            <w:r w:rsidRPr="008301D3">
              <w:rPr>
                <w:rFonts w:eastAsia="Times New Roman"/>
                <w:color w:val="000000"/>
              </w:rPr>
              <w:t>H.W. Bush</w:t>
            </w:r>
          </w:p>
        </w:tc>
        <w:tc>
          <w:tcPr>
            <w:tcW w:w="1429" w:type="dxa"/>
            <w:tcBorders>
              <w:top w:val="nil"/>
              <w:left w:val="nil"/>
              <w:bottom w:val="nil"/>
              <w:right w:val="nil"/>
            </w:tcBorders>
            <w:shd w:val="clear" w:color="auto" w:fill="auto"/>
            <w:noWrap/>
            <w:vAlign w:val="bottom"/>
            <w:hideMark/>
          </w:tcPr>
          <w:p w14:paraId="2C3C3EE3"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38%</w:t>
            </w:r>
          </w:p>
        </w:tc>
        <w:tc>
          <w:tcPr>
            <w:tcW w:w="1480" w:type="dxa"/>
            <w:tcBorders>
              <w:top w:val="nil"/>
              <w:left w:val="nil"/>
              <w:bottom w:val="nil"/>
              <w:right w:val="nil"/>
            </w:tcBorders>
            <w:shd w:val="clear" w:color="auto" w:fill="auto"/>
            <w:noWrap/>
            <w:vAlign w:val="bottom"/>
            <w:hideMark/>
          </w:tcPr>
          <w:p w14:paraId="1E45594B"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13%</w:t>
            </w:r>
          </w:p>
        </w:tc>
      </w:tr>
      <w:tr w:rsidR="008301D3" w:rsidRPr="008301D3" w14:paraId="418EADF8" w14:textId="77777777" w:rsidTr="009C724A">
        <w:trPr>
          <w:trHeight w:val="315"/>
          <w:jc w:val="center"/>
        </w:trPr>
        <w:tc>
          <w:tcPr>
            <w:tcW w:w="1300" w:type="dxa"/>
            <w:tcBorders>
              <w:top w:val="nil"/>
              <w:left w:val="nil"/>
              <w:bottom w:val="nil"/>
              <w:right w:val="nil"/>
            </w:tcBorders>
            <w:shd w:val="clear" w:color="auto" w:fill="auto"/>
            <w:noWrap/>
            <w:vAlign w:val="bottom"/>
            <w:hideMark/>
          </w:tcPr>
          <w:p w14:paraId="5F211630" w14:textId="77777777" w:rsidR="008301D3" w:rsidRPr="008301D3" w:rsidRDefault="008301D3" w:rsidP="008301D3">
            <w:pPr>
              <w:spacing w:line="240" w:lineRule="auto"/>
              <w:rPr>
                <w:rFonts w:eastAsia="Times New Roman"/>
                <w:color w:val="000000"/>
              </w:rPr>
            </w:pPr>
            <w:r w:rsidRPr="008301D3">
              <w:rPr>
                <w:rFonts w:eastAsia="Times New Roman"/>
                <w:color w:val="000000"/>
              </w:rPr>
              <w:t>Clinton</w:t>
            </w:r>
          </w:p>
        </w:tc>
        <w:tc>
          <w:tcPr>
            <w:tcW w:w="1429" w:type="dxa"/>
            <w:tcBorders>
              <w:top w:val="nil"/>
              <w:left w:val="nil"/>
              <w:bottom w:val="nil"/>
              <w:right w:val="nil"/>
            </w:tcBorders>
            <w:shd w:val="clear" w:color="auto" w:fill="auto"/>
            <w:noWrap/>
            <w:vAlign w:val="bottom"/>
            <w:hideMark/>
          </w:tcPr>
          <w:p w14:paraId="135D1352"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11%</w:t>
            </w:r>
          </w:p>
        </w:tc>
        <w:tc>
          <w:tcPr>
            <w:tcW w:w="1480" w:type="dxa"/>
            <w:tcBorders>
              <w:top w:val="nil"/>
              <w:left w:val="nil"/>
              <w:bottom w:val="nil"/>
              <w:right w:val="nil"/>
            </w:tcBorders>
            <w:shd w:val="clear" w:color="auto" w:fill="auto"/>
            <w:noWrap/>
            <w:vAlign w:val="bottom"/>
            <w:hideMark/>
          </w:tcPr>
          <w:p w14:paraId="74BAE922"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16%</w:t>
            </w:r>
          </w:p>
        </w:tc>
      </w:tr>
      <w:tr w:rsidR="008301D3" w:rsidRPr="008301D3" w14:paraId="7D7E8513" w14:textId="77777777" w:rsidTr="009C724A">
        <w:trPr>
          <w:trHeight w:val="315"/>
          <w:jc w:val="center"/>
        </w:trPr>
        <w:tc>
          <w:tcPr>
            <w:tcW w:w="1300" w:type="dxa"/>
            <w:tcBorders>
              <w:top w:val="nil"/>
              <w:left w:val="nil"/>
              <w:bottom w:val="nil"/>
              <w:right w:val="nil"/>
            </w:tcBorders>
            <w:shd w:val="clear" w:color="auto" w:fill="auto"/>
            <w:noWrap/>
            <w:vAlign w:val="bottom"/>
            <w:hideMark/>
          </w:tcPr>
          <w:p w14:paraId="19B4DD3C" w14:textId="77777777" w:rsidR="008301D3" w:rsidRPr="008301D3" w:rsidRDefault="008301D3" w:rsidP="008301D3">
            <w:pPr>
              <w:spacing w:line="240" w:lineRule="auto"/>
              <w:rPr>
                <w:rFonts w:eastAsia="Times New Roman"/>
                <w:color w:val="000000"/>
              </w:rPr>
            </w:pPr>
            <w:r w:rsidRPr="008301D3">
              <w:rPr>
                <w:rFonts w:eastAsia="Times New Roman"/>
                <w:color w:val="000000"/>
              </w:rPr>
              <w:t>W. Bush</w:t>
            </w:r>
          </w:p>
        </w:tc>
        <w:tc>
          <w:tcPr>
            <w:tcW w:w="1429" w:type="dxa"/>
            <w:tcBorders>
              <w:top w:val="nil"/>
              <w:left w:val="nil"/>
              <w:bottom w:val="nil"/>
              <w:right w:val="nil"/>
            </w:tcBorders>
            <w:shd w:val="clear" w:color="auto" w:fill="auto"/>
            <w:noWrap/>
            <w:vAlign w:val="bottom"/>
            <w:hideMark/>
          </w:tcPr>
          <w:p w14:paraId="4A980DFA"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6%</w:t>
            </w:r>
          </w:p>
        </w:tc>
        <w:tc>
          <w:tcPr>
            <w:tcW w:w="1480" w:type="dxa"/>
            <w:tcBorders>
              <w:top w:val="nil"/>
              <w:left w:val="nil"/>
              <w:bottom w:val="nil"/>
              <w:right w:val="nil"/>
            </w:tcBorders>
            <w:shd w:val="clear" w:color="auto" w:fill="auto"/>
            <w:noWrap/>
            <w:vAlign w:val="bottom"/>
            <w:hideMark/>
          </w:tcPr>
          <w:p w14:paraId="465D1F17"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12%</w:t>
            </w:r>
          </w:p>
        </w:tc>
      </w:tr>
      <w:tr w:rsidR="008301D3" w:rsidRPr="008301D3" w14:paraId="1EFC0B8B" w14:textId="77777777" w:rsidTr="009C724A">
        <w:trPr>
          <w:trHeight w:val="315"/>
          <w:jc w:val="center"/>
        </w:trPr>
        <w:tc>
          <w:tcPr>
            <w:tcW w:w="1300" w:type="dxa"/>
            <w:tcBorders>
              <w:top w:val="nil"/>
              <w:left w:val="nil"/>
              <w:bottom w:val="single" w:sz="4" w:space="0" w:color="auto"/>
              <w:right w:val="nil"/>
            </w:tcBorders>
            <w:shd w:val="clear" w:color="auto" w:fill="auto"/>
            <w:noWrap/>
            <w:vAlign w:val="bottom"/>
            <w:hideMark/>
          </w:tcPr>
          <w:p w14:paraId="79C4344B" w14:textId="77777777" w:rsidR="008301D3" w:rsidRPr="008301D3" w:rsidRDefault="008301D3" w:rsidP="008301D3">
            <w:pPr>
              <w:spacing w:line="240" w:lineRule="auto"/>
              <w:rPr>
                <w:rFonts w:eastAsia="Times New Roman"/>
                <w:color w:val="000000"/>
              </w:rPr>
            </w:pPr>
            <w:r w:rsidRPr="008301D3">
              <w:rPr>
                <w:rFonts w:eastAsia="Times New Roman"/>
                <w:color w:val="000000"/>
              </w:rPr>
              <w:t>Obama</w:t>
            </w:r>
          </w:p>
        </w:tc>
        <w:tc>
          <w:tcPr>
            <w:tcW w:w="1429" w:type="dxa"/>
            <w:tcBorders>
              <w:top w:val="nil"/>
              <w:left w:val="nil"/>
              <w:bottom w:val="single" w:sz="4" w:space="0" w:color="auto"/>
              <w:right w:val="nil"/>
            </w:tcBorders>
            <w:shd w:val="clear" w:color="auto" w:fill="auto"/>
            <w:noWrap/>
            <w:vAlign w:val="bottom"/>
            <w:hideMark/>
          </w:tcPr>
          <w:p w14:paraId="77170DF7"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12%</w:t>
            </w:r>
          </w:p>
        </w:tc>
        <w:tc>
          <w:tcPr>
            <w:tcW w:w="1480" w:type="dxa"/>
            <w:tcBorders>
              <w:top w:val="nil"/>
              <w:left w:val="nil"/>
              <w:bottom w:val="single" w:sz="4" w:space="0" w:color="auto"/>
              <w:right w:val="nil"/>
            </w:tcBorders>
            <w:shd w:val="clear" w:color="auto" w:fill="auto"/>
            <w:noWrap/>
            <w:vAlign w:val="bottom"/>
            <w:hideMark/>
          </w:tcPr>
          <w:p w14:paraId="4A7FAC26"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35%</w:t>
            </w:r>
          </w:p>
        </w:tc>
      </w:tr>
    </w:tbl>
    <w:p w14:paraId="0CE303C6" w14:textId="77777777" w:rsidR="008301D3" w:rsidRDefault="008301D3" w:rsidP="008301D3">
      <w:pPr>
        <w:spacing w:line="240" w:lineRule="auto"/>
        <w:ind w:left="720"/>
        <w:jc w:val="center"/>
        <w:rPr>
          <w:b/>
          <w:bCs/>
        </w:rPr>
      </w:pPr>
    </w:p>
    <w:p w14:paraId="3F9AE008" w14:textId="33916255" w:rsidR="005902CC" w:rsidRDefault="005902CC" w:rsidP="00184B75">
      <w:pPr>
        <w:spacing w:line="480" w:lineRule="auto"/>
        <w:ind w:left="720"/>
        <w:jc w:val="center"/>
        <w:rPr>
          <w:b/>
          <w:bCs/>
        </w:rPr>
      </w:pPr>
    </w:p>
    <w:p w14:paraId="6B761F08" w14:textId="2D91730A" w:rsidR="005902CC" w:rsidRDefault="005902CC" w:rsidP="00184B75">
      <w:pPr>
        <w:spacing w:line="480" w:lineRule="auto"/>
        <w:ind w:left="720"/>
        <w:jc w:val="center"/>
        <w:rPr>
          <w:b/>
          <w:bCs/>
        </w:rPr>
      </w:pPr>
    </w:p>
    <w:p w14:paraId="3FF7074C" w14:textId="02DFBF16" w:rsidR="005902CC" w:rsidRDefault="005902CC" w:rsidP="00184B75">
      <w:pPr>
        <w:spacing w:line="480" w:lineRule="auto"/>
        <w:ind w:left="720"/>
        <w:jc w:val="center"/>
        <w:rPr>
          <w:b/>
          <w:bCs/>
        </w:rPr>
      </w:pPr>
    </w:p>
    <w:p w14:paraId="5CB2659D" w14:textId="42F121D6" w:rsidR="005902CC" w:rsidRDefault="005902CC" w:rsidP="00184B75">
      <w:pPr>
        <w:spacing w:line="480" w:lineRule="auto"/>
        <w:ind w:left="720"/>
        <w:jc w:val="center"/>
        <w:rPr>
          <w:b/>
          <w:bCs/>
        </w:rPr>
      </w:pPr>
    </w:p>
    <w:p w14:paraId="37ABEB81" w14:textId="597688C1" w:rsidR="005902CC" w:rsidRDefault="005902CC" w:rsidP="00184B75">
      <w:pPr>
        <w:spacing w:line="480" w:lineRule="auto"/>
        <w:ind w:left="720"/>
        <w:jc w:val="center"/>
        <w:rPr>
          <w:b/>
          <w:bCs/>
        </w:rPr>
      </w:pPr>
    </w:p>
    <w:p w14:paraId="33694C99" w14:textId="69AC666A" w:rsidR="005902CC" w:rsidRDefault="005902CC" w:rsidP="00184B75">
      <w:pPr>
        <w:spacing w:line="480" w:lineRule="auto"/>
        <w:ind w:left="720"/>
        <w:jc w:val="center"/>
        <w:rPr>
          <w:b/>
          <w:bCs/>
        </w:rPr>
      </w:pPr>
    </w:p>
    <w:p w14:paraId="15E1F2BC" w14:textId="1829E44D" w:rsidR="005902CC" w:rsidRDefault="005902CC" w:rsidP="00184B75">
      <w:pPr>
        <w:spacing w:line="480" w:lineRule="auto"/>
        <w:ind w:left="720"/>
        <w:jc w:val="center"/>
        <w:rPr>
          <w:b/>
          <w:bCs/>
        </w:rPr>
      </w:pPr>
    </w:p>
    <w:p w14:paraId="1A2814D3" w14:textId="0EB394A2" w:rsidR="005902CC" w:rsidRDefault="005902CC" w:rsidP="00184B75">
      <w:pPr>
        <w:spacing w:line="480" w:lineRule="auto"/>
        <w:ind w:left="720"/>
        <w:jc w:val="center"/>
        <w:rPr>
          <w:b/>
          <w:bCs/>
        </w:rPr>
      </w:pPr>
    </w:p>
    <w:p w14:paraId="1A59C440" w14:textId="00CA83FA" w:rsidR="005902CC" w:rsidRDefault="005902CC" w:rsidP="00184B75">
      <w:pPr>
        <w:spacing w:line="480" w:lineRule="auto"/>
        <w:ind w:left="720"/>
        <w:jc w:val="center"/>
        <w:rPr>
          <w:b/>
          <w:bCs/>
        </w:rPr>
      </w:pPr>
    </w:p>
    <w:p w14:paraId="7435AE30" w14:textId="4A685343" w:rsidR="005902CC" w:rsidRDefault="005902CC" w:rsidP="00184B75">
      <w:pPr>
        <w:spacing w:line="480" w:lineRule="auto"/>
        <w:ind w:left="720"/>
        <w:jc w:val="center"/>
        <w:rPr>
          <w:b/>
          <w:bCs/>
        </w:rPr>
      </w:pPr>
    </w:p>
    <w:p w14:paraId="1F4EFF0B" w14:textId="349B0A56" w:rsidR="005902CC" w:rsidRDefault="005902CC" w:rsidP="00184B75">
      <w:pPr>
        <w:spacing w:line="480" w:lineRule="auto"/>
        <w:ind w:left="720"/>
        <w:jc w:val="center"/>
        <w:rPr>
          <w:b/>
          <w:bCs/>
        </w:rPr>
      </w:pPr>
    </w:p>
    <w:p w14:paraId="3AE847B4" w14:textId="7C13A2A6" w:rsidR="005902CC" w:rsidRDefault="005902CC" w:rsidP="00184B75">
      <w:pPr>
        <w:spacing w:line="480" w:lineRule="auto"/>
        <w:ind w:left="720"/>
        <w:jc w:val="center"/>
        <w:rPr>
          <w:b/>
          <w:bCs/>
        </w:rPr>
      </w:pPr>
    </w:p>
    <w:p w14:paraId="1853A77A" w14:textId="5C4CBFD2" w:rsidR="005902CC" w:rsidRDefault="005902CC" w:rsidP="00184B75">
      <w:pPr>
        <w:spacing w:line="480" w:lineRule="auto"/>
        <w:ind w:left="720"/>
        <w:jc w:val="center"/>
        <w:rPr>
          <w:b/>
          <w:bCs/>
        </w:rPr>
      </w:pPr>
    </w:p>
    <w:p w14:paraId="0767C697" w14:textId="333A4687" w:rsidR="005902CC" w:rsidRDefault="005902CC" w:rsidP="00184B75">
      <w:pPr>
        <w:spacing w:line="480" w:lineRule="auto"/>
        <w:ind w:left="720"/>
        <w:jc w:val="center"/>
        <w:rPr>
          <w:b/>
          <w:bCs/>
        </w:rPr>
      </w:pPr>
    </w:p>
    <w:p w14:paraId="5DB0814F" w14:textId="5508B62A" w:rsidR="005902CC" w:rsidRDefault="005902CC" w:rsidP="00184B75">
      <w:pPr>
        <w:spacing w:line="480" w:lineRule="auto"/>
        <w:ind w:left="720"/>
        <w:jc w:val="center"/>
        <w:rPr>
          <w:b/>
          <w:bCs/>
        </w:rPr>
      </w:pPr>
    </w:p>
    <w:p w14:paraId="4A415E25" w14:textId="71AA909B" w:rsidR="008B1672" w:rsidRDefault="008B1672" w:rsidP="00184B75">
      <w:pPr>
        <w:spacing w:line="480" w:lineRule="auto"/>
        <w:ind w:left="720"/>
        <w:jc w:val="center"/>
        <w:rPr>
          <w:b/>
          <w:bCs/>
        </w:rPr>
      </w:pPr>
    </w:p>
    <w:p w14:paraId="377A869E" w14:textId="1CDAAFCB" w:rsidR="008B1672" w:rsidRDefault="008B1672" w:rsidP="00184B75">
      <w:pPr>
        <w:spacing w:line="480" w:lineRule="auto"/>
        <w:ind w:left="720"/>
        <w:jc w:val="center"/>
        <w:rPr>
          <w:b/>
          <w:bCs/>
        </w:rPr>
      </w:pPr>
    </w:p>
    <w:p w14:paraId="0C96AEA1" w14:textId="77777777" w:rsidR="008B1672" w:rsidRDefault="008B1672" w:rsidP="00184B75">
      <w:pPr>
        <w:spacing w:line="480" w:lineRule="auto"/>
        <w:ind w:left="720"/>
        <w:jc w:val="center"/>
        <w:rPr>
          <w:b/>
          <w:bCs/>
        </w:rPr>
      </w:pPr>
    </w:p>
    <w:p w14:paraId="0074BE96" w14:textId="77777777" w:rsidR="008301D3" w:rsidRDefault="00184B75" w:rsidP="008301D3">
      <w:pPr>
        <w:spacing w:line="240" w:lineRule="auto"/>
        <w:ind w:left="720"/>
        <w:jc w:val="center"/>
        <w:rPr>
          <w:b/>
          <w:bCs/>
        </w:rPr>
      </w:pPr>
      <w:r>
        <w:rPr>
          <w:b/>
          <w:bCs/>
        </w:rPr>
        <w:lastRenderedPageBreak/>
        <w:t xml:space="preserve">Table </w:t>
      </w:r>
      <w:r w:rsidR="005902CC">
        <w:rPr>
          <w:b/>
          <w:bCs/>
        </w:rPr>
        <w:t>6</w:t>
      </w:r>
      <w:r>
        <w:rPr>
          <w:b/>
          <w:bCs/>
        </w:rPr>
        <w:t xml:space="preserve">: Percentage of Same-President USA Appointees </w:t>
      </w:r>
    </w:p>
    <w:tbl>
      <w:tblPr>
        <w:tblW w:w="4220" w:type="dxa"/>
        <w:jc w:val="center"/>
        <w:tblLook w:val="04A0" w:firstRow="1" w:lastRow="0" w:firstColumn="1" w:lastColumn="0" w:noHBand="0" w:noVBand="1"/>
      </w:tblPr>
      <w:tblGrid>
        <w:gridCol w:w="1300"/>
        <w:gridCol w:w="1460"/>
        <w:gridCol w:w="1460"/>
      </w:tblGrid>
      <w:tr w:rsidR="008301D3" w:rsidRPr="008301D3" w14:paraId="2BC96689" w14:textId="77777777" w:rsidTr="008301D3">
        <w:trPr>
          <w:trHeight w:val="630"/>
          <w:jc w:val="center"/>
        </w:trPr>
        <w:tc>
          <w:tcPr>
            <w:tcW w:w="1300" w:type="dxa"/>
            <w:tcBorders>
              <w:top w:val="single" w:sz="4" w:space="0" w:color="auto"/>
              <w:left w:val="nil"/>
              <w:bottom w:val="single" w:sz="4" w:space="0" w:color="auto"/>
              <w:right w:val="nil"/>
            </w:tcBorders>
            <w:shd w:val="clear" w:color="auto" w:fill="auto"/>
            <w:noWrap/>
            <w:vAlign w:val="bottom"/>
            <w:hideMark/>
          </w:tcPr>
          <w:p w14:paraId="66C8C3D4" w14:textId="77777777" w:rsidR="008301D3" w:rsidRPr="008301D3" w:rsidRDefault="008301D3" w:rsidP="008301D3">
            <w:pPr>
              <w:spacing w:line="240" w:lineRule="auto"/>
              <w:rPr>
                <w:rFonts w:eastAsia="Times New Roman"/>
                <w:color w:val="000000"/>
              </w:rPr>
            </w:pPr>
            <w:r w:rsidRPr="008301D3">
              <w:rPr>
                <w:rFonts w:eastAsia="Times New Roman"/>
                <w:color w:val="000000"/>
              </w:rPr>
              <w:t> </w:t>
            </w:r>
          </w:p>
        </w:tc>
        <w:tc>
          <w:tcPr>
            <w:tcW w:w="1460" w:type="dxa"/>
            <w:tcBorders>
              <w:top w:val="single" w:sz="4" w:space="0" w:color="auto"/>
              <w:left w:val="nil"/>
              <w:bottom w:val="single" w:sz="4" w:space="0" w:color="auto"/>
              <w:right w:val="nil"/>
            </w:tcBorders>
            <w:shd w:val="clear" w:color="auto" w:fill="auto"/>
            <w:vAlign w:val="bottom"/>
            <w:hideMark/>
          </w:tcPr>
          <w:p w14:paraId="3F0D8105"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 Fed. Bureaucracy</w:t>
            </w:r>
          </w:p>
        </w:tc>
        <w:tc>
          <w:tcPr>
            <w:tcW w:w="1460" w:type="dxa"/>
            <w:tcBorders>
              <w:top w:val="single" w:sz="4" w:space="0" w:color="auto"/>
              <w:left w:val="nil"/>
              <w:bottom w:val="single" w:sz="4" w:space="0" w:color="auto"/>
              <w:right w:val="nil"/>
            </w:tcBorders>
            <w:shd w:val="clear" w:color="auto" w:fill="auto"/>
            <w:vAlign w:val="bottom"/>
            <w:hideMark/>
          </w:tcPr>
          <w:p w14:paraId="041B70F7"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 Fed. Judiciary</w:t>
            </w:r>
          </w:p>
        </w:tc>
      </w:tr>
      <w:tr w:rsidR="008301D3" w:rsidRPr="008301D3" w14:paraId="25C051A6" w14:textId="77777777" w:rsidTr="008301D3">
        <w:trPr>
          <w:trHeight w:val="315"/>
          <w:jc w:val="center"/>
        </w:trPr>
        <w:tc>
          <w:tcPr>
            <w:tcW w:w="1300" w:type="dxa"/>
            <w:tcBorders>
              <w:top w:val="nil"/>
              <w:left w:val="nil"/>
              <w:bottom w:val="nil"/>
              <w:right w:val="nil"/>
            </w:tcBorders>
            <w:shd w:val="clear" w:color="auto" w:fill="auto"/>
            <w:noWrap/>
            <w:vAlign w:val="bottom"/>
            <w:hideMark/>
          </w:tcPr>
          <w:p w14:paraId="686F4F16" w14:textId="77777777" w:rsidR="008301D3" w:rsidRPr="008301D3" w:rsidRDefault="008301D3" w:rsidP="008301D3">
            <w:pPr>
              <w:spacing w:line="240" w:lineRule="auto"/>
              <w:rPr>
                <w:rFonts w:eastAsia="Times New Roman"/>
                <w:color w:val="000000"/>
              </w:rPr>
            </w:pPr>
            <w:r w:rsidRPr="008301D3">
              <w:rPr>
                <w:rFonts w:eastAsia="Times New Roman"/>
                <w:color w:val="000000"/>
              </w:rPr>
              <w:t>Reagan</w:t>
            </w:r>
          </w:p>
        </w:tc>
        <w:tc>
          <w:tcPr>
            <w:tcW w:w="1460" w:type="dxa"/>
            <w:tcBorders>
              <w:top w:val="nil"/>
              <w:left w:val="nil"/>
              <w:bottom w:val="nil"/>
              <w:right w:val="nil"/>
            </w:tcBorders>
            <w:shd w:val="clear" w:color="auto" w:fill="auto"/>
            <w:noWrap/>
            <w:vAlign w:val="bottom"/>
            <w:hideMark/>
          </w:tcPr>
          <w:p w14:paraId="1139FD79"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75%</w:t>
            </w:r>
          </w:p>
        </w:tc>
        <w:tc>
          <w:tcPr>
            <w:tcW w:w="1460" w:type="dxa"/>
            <w:tcBorders>
              <w:top w:val="nil"/>
              <w:left w:val="nil"/>
              <w:bottom w:val="nil"/>
              <w:right w:val="nil"/>
            </w:tcBorders>
            <w:shd w:val="clear" w:color="auto" w:fill="auto"/>
            <w:noWrap/>
            <w:vAlign w:val="bottom"/>
            <w:hideMark/>
          </w:tcPr>
          <w:p w14:paraId="78BDD5CF"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100%</w:t>
            </w:r>
          </w:p>
        </w:tc>
      </w:tr>
      <w:tr w:rsidR="008301D3" w:rsidRPr="008301D3" w14:paraId="5E8AF0FB" w14:textId="77777777" w:rsidTr="008301D3">
        <w:trPr>
          <w:trHeight w:val="315"/>
          <w:jc w:val="center"/>
        </w:trPr>
        <w:tc>
          <w:tcPr>
            <w:tcW w:w="1300" w:type="dxa"/>
            <w:tcBorders>
              <w:top w:val="nil"/>
              <w:left w:val="nil"/>
              <w:bottom w:val="nil"/>
              <w:right w:val="nil"/>
            </w:tcBorders>
            <w:shd w:val="clear" w:color="auto" w:fill="auto"/>
            <w:noWrap/>
            <w:vAlign w:val="bottom"/>
            <w:hideMark/>
          </w:tcPr>
          <w:p w14:paraId="5E091310" w14:textId="77777777" w:rsidR="008301D3" w:rsidRPr="008301D3" w:rsidRDefault="008301D3" w:rsidP="008301D3">
            <w:pPr>
              <w:spacing w:line="240" w:lineRule="auto"/>
              <w:rPr>
                <w:rFonts w:eastAsia="Times New Roman"/>
                <w:color w:val="000000"/>
              </w:rPr>
            </w:pPr>
            <w:r w:rsidRPr="008301D3">
              <w:rPr>
                <w:rFonts w:eastAsia="Times New Roman"/>
                <w:color w:val="000000"/>
              </w:rPr>
              <w:t>H.W. Bush</w:t>
            </w:r>
          </w:p>
        </w:tc>
        <w:tc>
          <w:tcPr>
            <w:tcW w:w="1460" w:type="dxa"/>
            <w:tcBorders>
              <w:top w:val="nil"/>
              <w:left w:val="nil"/>
              <w:bottom w:val="nil"/>
              <w:right w:val="nil"/>
            </w:tcBorders>
            <w:shd w:val="clear" w:color="auto" w:fill="auto"/>
            <w:noWrap/>
            <w:vAlign w:val="bottom"/>
            <w:hideMark/>
          </w:tcPr>
          <w:p w14:paraId="1D2D2AC6"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33%</w:t>
            </w:r>
          </w:p>
        </w:tc>
        <w:tc>
          <w:tcPr>
            <w:tcW w:w="1460" w:type="dxa"/>
            <w:tcBorders>
              <w:top w:val="nil"/>
              <w:left w:val="nil"/>
              <w:bottom w:val="nil"/>
              <w:right w:val="nil"/>
            </w:tcBorders>
            <w:shd w:val="clear" w:color="auto" w:fill="auto"/>
            <w:noWrap/>
            <w:vAlign w:val="bottom"/>
            <w:hideMark/>
          </w:tcPr>
          <w:p w14:paraId="68CEBF3A"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33%</w:t>
            </w:r>
          </w:p>
        </w:tc>
      </w:tr>
      <w:tr w:rsidR="008301D3" w:rsidRPr="008301D3" w14:paraId="4EDBC70C" w14:textId="77777777" w:rsidTr="008301D3">
        <w:trPr>
          <w:trHeight w:val="315"/>
          <w:jc w:val="center"/>
        </w:trPr>
        <w:tc>
          <w:tcPr>
            <w:tcW w:w="1300" w:type="dxa"/>
            <w:tcBorders>
              <w:top w:val="nil"/>
              <w:left w:val="nil"/>
              <w:bottom w:val="nil"/>
              <w:right w:val="nil"/>
            </w:tcBorders>
            <w:shd w:val="clear" w:color="auto" w:fill="auto"/>
            <w:noWrap/>
            <w:vAlign w:val="bottom"/>
            <w:hideMark/>
          </w:tcPr>
          <w:p w14:paraId="134BB004" w14:textId="77777777" w:rsidR="008301D3" w:rsidRPr="008301D3" w:rsidRDefault="008301D3" w:rsidP="008301D3">
            <w:pPr>
              <w:spacing w:line="240" w:lineRule="auto"/>
              <w:rPr>
                <w:rFonts w:eastAsia="Times New Roman"/>
                <w:color w:val="000000"/>
              </w:rPr>
            </w:pPr>
            <w:r w:rsidRPr="008301D3">
              <w:rPr>
                <w:rFonts w:eastAsia="Times New Roman"/>
                <w:color w:val="000000"/>
              </w:rPr>
              <w:t>Clinton</w:t>
            </w:r>
          </w:p>
        </w:tc>
        <w:tc>
          <w:tcPr>
            <w:tcW w:w="1460" w:type="dxa"/>
            <w:tcBorders>
              <w:top w:val="nil"/>
              <w:left w:val="nil"/>
              <w:bottom w:val="nil"/>
              <w:right w:val="nil"/>
            </w:tcBorders>
            <w:shd w:val="clear" w:color="auto" w:fill="auto"/>
            <w:noWrap/>
            <w:vAlign w:val="bottom"/>
            <w:hideMark/>
          </w:tcPr>
          <w:p w14:paraId="59AC5355"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50%</w:t>
            </w:r>
          </w:p>
        </w:tc>
        <w:tc>
          <w:tcPr>
            <w:tcW w:w="1460" w:type="dxa"/>
            <w:tcBorders>
              <w:top w:val="nil"/>
              <w:left w:val="nil"/>
              <w:bottom w:val="nil"/>
              <w:right w:val="nil"/>
            </w:tcBorders>
            <w:shd w:val="clear" w:color="auto" w:fill="auto"/>
            <w:noWrap/>
            <w:vAlign w:val="bottom"/>
            <w:hideMark/>
          </w:tcPr>
          <w:p w14:paraId="4305C177"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89%</w:t>
            </w:r>
          </w:p>
        </w:tc>
      </w:tr>
      <w:tr w:rsidR="008301D3" w:rsidRPr="008301D3" w14:paraId="7008C9AB" w14:textId="77777777" w:rsidTr="008301D3">
        <w:trPr>
          <w:trHeight w:val="315"/>
          <w:jc w:val="center"/>
        </w:trPr>
        <w:tc>
          <w:tcPr>
            <w:tcW w:w="1300" w:type="dxa"/>
            <w:tcBorders>
              <w:top w:val="nil"/>
              <w:left w:val="nil"/>
              <w:bottom w:val="nil"/>
              <w:right w:val="nil"/>
            </w:tcBorders>
            <w:shd w:val="clear" w:color="auto" w:fill="auto"/>
            <w:noWrap/>
            <w:vAlign w:val="bottom"/>
            <w:hideMark/>
          </w:tcPr>
          <w:p w14:paraId="607008E0" w14:textId="77777777" w:rsidR="008301D3" w:rsidRPr="008301D3" w:rsidRDefault="008301D3" w:rsidP="008301D3">
            <w:pPr>
              <w:spacing w:line="240" w:lineRule="auto"/>
              <w:rPr>
                <w:rFonts w:eastAsia="Times New Roman"/>
                <w:color w:val="000000"/>
              </w:rPr>
            </w:pPr>
            <w:r w:rsidRPr="008301D3">
              <w:rPr>
                <w:rFonts w:eastAsia="Times New Roman"/>
                <w:color w:val="000000"/>
              </w:rPr>
              <w:t>W. Bush</w:t>
            </w:r>
          </w:p>
        </w:tc>
        <w:tc>
          <w:tcPr>
            <w:tcW w:w="1460" w:type="dxa"/>
            <w:tcBorders>
              <w:top w:val="nil"/>
              <w:left w:val="nil"/>
              <w:bottom w:val="nil"/>
              <w:right w:val="nil"/>
            </w:tcBorders>
            <w:shd w:val="clear" w:color="auto" w:fill="auto"/>
            <w:noWrap/>
            <w:vAlign w:val="bottom"/>
            <w:hideMark/>
          </w:tcPr>
          <w:p w14:paraId="45115A55"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64%</w:t>
            </w:r>
          </w:p>
        </w:tc>
        <w:tc>
          <w:tcPr>
            <w:tcW w:w="1460" w:type="dxa"/>
            <w:tcBorders>
              <w:top w:val="nil"/>
              <w:left w:val="nil"/>
              <w:bottom w:val="nil"/>
              <w:right w:val="nil"/>
            </w:tcBorders>
            <w:shd w:val="clear" w:color="auto" w:fill="auto"/>
            <w:noWrap/>
            <w:vAlign w:val="bottom"/>
            <w:hideMark/>
          </w:tcPr>
          <w:p w14:paraId="45C34A5E"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95%</w:t>
            </w:r>
          </w:p>
        </w:tc>
      </w:tr>
      <w:tr w:rsidR="008301D3" w:rsidRPr="008301D3" w14:paraId="28AD912F" w14:textId="77777777" w:rsidTr="008301D3">
        <w:trPr>
          <w:trHeight w:val="315"/>
          <w:jc w:val="center"/>
        </w:trPr>
        <w:tc>
          <w:tcPr>
            <w:tcW w:w="1300" w:type="dxa"/>
            <w:tcBorders>
              <w:top w:val="nil"/>
              <w:left w:val="nil"/>
              <w:bottom w:val="single" w:sz="4" w:space="0" w:color="auto"/>
              <w:right w:val="nil"/>
            </w:tcBorders>
            <w:shd w:val="clear" w:color="auto" w:fill="auto"/>
            <w:noWrap/>
            <w:vAlign w:val="bottom"/>
            <w:hideMark/>
          </w:tcPr>
          <w:p w14:paraId="1C2D96F1" w14:textId="77777777" w:rsidR="008301D3" w:rsidRPr="008301D3" w:rsidRDefault="008301D3" w:rsidP="008301D3">
            <w:pPr>
              <w:spacing w:line="240" w:lineRule="auto"/>
              <w:rPr>
                <w:rFonts w:eastAsia="Times New Roman"/>
                <w:color w:val="000000"/>
              </w:rPr>
            </w:pPr>
            <w:r w:rsidRPr="008301D3">
              <w:rPr>
                <w:rFonts w:eastAsia="Times New Roman"/>
                <w:color w:val="000000"/>
              </w:rPr>
              <w:t>Obama</w:t>
            </w:r>
          </w:p>
        </w:tc>
        <w:tc>
          <w:tcPr>
            <w:tcW w:w="1460" w:type="dxa"/>
            <w:tcBorders>
              <w:top w:val="nil"/>
              <w:left w:val="nil"/>
              <w:bottom w:val="single" w:sz="4" w:space="0" w:color="auto"/>
              <w:right w:val="nil"/>
            </w:tcBorders>
            <w:shd w:val="clear" w:color="auto" w:fill="auto"/>
            <w:noWrap/>
            <w:vAlign w:val="bottom"/>
            <w:hideMark/>
          </w:tcPr>
          <w:p w14:paraId="1C044BBB"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50%</w:t>
            </w:r>
          </w:p>
        </w:tc>
        <w:tc>
          <w:tcPr>
            <w:tcW w:w="1460" w:type="dxa"/>
            <w:tcBorders>
              <w:top w:val="nil"/>
              <w:left w:val="nil"/>
              <w:bottom w:val="single" w:sz="4" w:space="0" w:color="auto"/>
              <w:right w:val="nil"/>
            </w:tcBorders>
            <w:shd w:val="clear" w:color="auto" w:fill="auto"/>
            <w:noWrap/>
            <w:vAlign w:val="bottom"/>
            <w:hideMark/>
          </w:tcPr>
          <w:p w14:paraId="6BDA16E7" w14:textId="77777777" w:rsidR="008301D3" w:rsidRPr="008301D3" w:rsidRDefault="008301D3" w:rsidP="008301D3">
            <w:pPr>
              <w:spacing w:line="240" w:lineRule="auto"/>
              <w:jc w:val="center"/>
              <w:rPr>
                <w:rFonts w:eastAsia="Times New Roman"/>
                <w:color w:val="000000"/>
              </w:rPr>
            </w:pPr>
            <w:r w:rsidRPr="008301D3">
              <w:rPr>
                <w:rFonts w:eastAsia="Times New Roman"/>
                <w:color w:val="000000"/>
              </w:rPr>
              <w:t>89%</w:t>
            </w:r>
          </w:p>
        </w:tc>
      </w:tr>
    </w:tbl>
    <w:p w14:paraId="564E682C" w14:textId="5B0596BD" w:rsidR="00117CB9" w:rsidRDefault="00117CB9" w:rsidP="008301D3">
      <w:pPr>
        <w:spacing w:line="240" w:lineRule="auto"/>
        <w:ind w:left="720"/>
        <w:jc w:val="center"/>
      </w:pPr>
      <w:r>
        <w:br w:type="page"/>
      </w:r>
    </w:p>
    <w:p w14:paraId="0FDE637A" w14:textId="5A1B4656" w:rsidR="00DB79C7" w:rsidRDefault="009238F3" w:rsidP="00DB79C7">
      <w:pPr>
        <w:spacing w:line="240" w:lineRule="auto"/>
        <w:jc w:val="center"/>
        <w:rPr>
          <w:b/>
        </w:rPr>
      </w:pPr>
      <w:r>
        <w:rPr>
          <w:b/>
        </w:rPr>
        <w:lastRenderedPageBreak/>
        <w:t>Table 7: Substantive Results, Non-Interactive Models</w:t>
      </w:r>
    </w:p>
    <w:tbl>
      <w:tblPr>
        <w:tblW w:w="6300" w:type="dxa"/>
        <w:jc w:val="center"/>
        <w:tblLook w:val="04A0" w:firstRow="1" w:lastRow="0" w:firstColumn="1" w:lastColumn="0" w:noHBand="0" w:noVBand="1"/>
      </w:tblPr>
      <w:tblGrid>
        <w:gridCol w:w="1960"/>
        <w:gridCol w:w="2140"/>
        <w:gridCol w:w="2200"/>
      </w:tblGrid>
      <w:tr w:rsidR="00DB79C7" w:rsidRPr="00DB79C7" w14:paraId="58FBE39E" w14:textId="77777777" w:rsidTr="00DB79C7">
        <w:trPr>
          <w:trHeight w:val="330"/>
          <w:jc w:val="center"/>
        </w:trPr>
        <w:tc>
          <w:tcPr>
            <w:tcW w:w="1960" w:type="dxa"/>
            <w:tcBorders>
              <w:top w:val="single" w:sz="8" w:space="0" w:color="auto"/>
              <w:left w:val="nil"/>
              <w:bottom w:val="single" w:sz="8" w:space="0" w:color="auto"/>
              <w:right w:val="nil"/>
            </w:tcBorders>
            <w:shd w:val="clear" w:color="auto" w:fill="auto"/>
            <w:noWrap/>
            <w:vAlign w:val="center"/>
            <w:hideMark/>
          </w:tcPr>
          <w:p w14:paraId="134F226D" w14:textId="77777777" w:rsidR="00DB79C7" w:rsidRPr="00DB79C7" w:rsidRDefault="00DB79C7" w:rsidP="00DB79C7">
            <w:pPr>
              <w:spacing w:line="240" w:lineRule="auto"/>
              <w:rPr>
                <w:rFonts w:eastAsia="Times New Roman"/>
                <w:color w:val="000000"/>
              </w:rPr>
            </w:pPr>
            <w:r w:rsidRPr="00DB79C7">
              <w:rPr>
                <w:rFonts w:eastAsia="Times New Roman"/>
                <w:color w:val="000000"/>
              </w:rPr>
              <w:t> </w:t>
            </w:r>
          </w:p>
        </w:tc>
        <w:tc>
          <w:tcPr>
            <w:tcW w:w="2140" w:type="dxa"/>
            <w:tcBorders>
              <w:top w:val="single" w:sz="8" w:space="0" w:color="auto"/>
              <w:left w:val="nil"/>
              <w:bottom w:val="single" w:sz="8" w:space="0" w:color="auto"/>
              <w:right w:val="nil"/>
            </w:tcBorders>
            <w:shd w:val="clear" w:color="auto" w:fill="auto"/>
            <w:vAlign w:val="center"/>
            <w:hideMark/>
          </w:tcPr>
          <w:p w14:paraId="5DE86073"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Federal Bureaucracy</w:t>
            </w:r>
          </w:p>
        </w:tc>
        <w:tc>
          <w:tcPr>
            <w:tcW w:w="2200" w:type="dxa"/>
            <w:tcBorders>
              <w:top w:val="single" w:sz="8" w:space="0" w:color="auto"/>
              <w:left w:val="nil"/>
              <w:bottom w:val="single" w:sz="8" w:space="0" w:color="auto"/>
              <w:right w:val="nil"/>
            </w:tcBorders>
            <w:shd w:val="clear" w:color="auto" w:fill="auto"/>
            <w:vAlign w:val="center"/>
            <w:hideMark/>
          </w:tcPr>
          <w:p w14:paraId="36C9061A"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Federal Judge</w:t>
            </w:r>
          </w:p>
        </w:tc>
      </w:tr>
      <w:tr w:rsidR="00DB79C7" w:rsidRPr="00DB79C7" w14:paraId="710CDFB1" w14:textId="77777777" w:rsidTr="00DB79C7">
        <w:trPr>
          <w:trHeight w:val="315"/>
          <w:jc w:val="center"/>
        </w:trPr>
        <w:tc>
          <w:tcPr>
            <w:tcW w:w="1960" w:type="dxa"/>
            <w:tcBorders>
              <w:top w:val="nil"/>
              <w:left w:val="nil"/>
              <w:bottom w:val="nil"/>
              <w:right w:val="nil"/>
            </w:tcBorders>
            <w:shd w:val="clear" w:color="auto" w:fill="auto"/>
            <w:noWrap/>
            <w:vAlign w:val="center"/>
            <w:hideMark/>
          </w:tcPr>
          <w:p w14:paraId="52580BE0" w14:textId="77777777" w:rsidR="00DB79C7" w:rsidRPr="00DB79C7" w:rsidRDefault="00DB79C7" w:rsidP="00DB79C7">
            <w:pPr>
              <w:spacing w:line="240" w:lineRule="auto"/>
              <w:rPr>
                <w:rFonts w:eastAsia="Times New Roman"/>
                <w:color w:val="000000"/>
              </w:rPr>
            </w:pPr>
            <w:r w:rsidRPr="00DB79C7">
              <w:rPr>
                <w:rFonts w:eastAsia="Times New Roman"/>
                <w:color w:val="000000"/>
              </w:rPr>
              <w:t>White Male</w:t>
            </w:r>
          </w:p>
        </w:tc>
        <w:tc>
          <w:tcPr>
            <w:tcW w:w="2140" w:type="dxa"/>
            <w:tcBorders>
              <w:top w:val="nil"/>
              <w:left w:val="nil"/>
              <w:bottom w:val="nil"/>
              <w:right w:val="nil"/>
            </w:tcBorders>
            <w:shd w:val="clear" w:color="000000" w:fill="D0CECE"/>
            <w:noWrap/>
            <w:vAlign w:val="center"/>
            <w:hideMark/>
          </w:tcPr>
          <w:p w14:paraId="16CC644C"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-0.09 [-.17, -.00]</w:t>
            </w:r>
          </w:p>
        </w:tc>
        <w:tc>
          <w:tcPr>
            <w:tcW w:w="2200" w:type="dxa"/>
            <w:tcBorders>
              <w:top w:val="nil"/>
              <w:left w:val="nil"/>
              <w:bottom w:val="nil"/>
              <w:right w:val="nil"/>
            </w:tcBorders>
            <w:shd w:val="clear" w:color="000000" w:fill="D0CECE"/>
            <w:noWrap/>
            <w:vAlign w:val="center"/>
            <w:hideMark/>
          </w:tcPr>
          <w:p w14:paraId="3A307BDF"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-0.12 [-.19, -.05]</w:t>
            </w:r>
          </w:p>
        </w:tc>
      </w:tr>
      <w:tr w:rsidR="00DB79C7" w:rsidRPr="00DB79C7" w14:paraId="7188354D" w14:textId="77777777" w:rsidTr="00DB79C7">
        <w:trPr>
          <w:trHeight w:val="315"/>
          <w:jc w:val="center"/>
        </w:trPr>
        <w:tc>
          <w:tcPr>
            <w:tcW w:w="1960" w:type="dxa"/>
            <w:tcBorders>
              <w:top w:val="nil"/>
              <w:left w:val="nil"/>
              <w:bottom w:val="nil"/>
              <w:right w:val="nil"/>
            </w:tcBorders>
            <w:shd w:val="clear" w:color="auto" w:fill="auto"/>
            <w:noWrap/>
            <w:vAlign w:val="center"/>
            <w:hideMark/>
          </w:tcPr>
          <w:p w14:paraId="15EE86A9" w14:textId="77777777" w:rsidR="00DB79C7" w:rsidRPr="00DB79C7" w:rsidRDefault="00DB79C7" w:rsidP="00DB79C7">
            <w:pPr>
              <w:spacing w:line="240" w:lineRule="auto"/>
              <w:rPr>
                <w:rFonts w:eastAsia="Times New Roman"/>
                <w:color w:val="000000"/>
              </w:rPr>
            </w:pPr>
            <w:r w:rsidRPr="00DB79C7">
              <w:rPr>
                <w:rFonts w:eastAsia="Times New Roman"/>
                <w:color w:val="000000"/>
              </w:rPr>
              <w:t>Ideological Dist.</w:t>
            </w:r>
          </w:p>
        </w:tc>
        <w:tc>
          <w:tcPr>
            <w:tcW w:w="2140" w:type="dxa"/>
            <w:tcBorders>
              <w:top w:val="nil"/>
              <w:left w:val="nil"/>
              <w:bottom w:val="nil"/>
              <w:right w:val="nil"/>
            </w:tcBorders>
            <w:shd w:val="clear" w:color="auto" w:fill="auto"/>
            <w:noWrap/>
            <w:vAlign w:val="center"/>
            <w:hideMark/>
          </w:tcPr>
          <w:p w14:paraId="7AB0B085"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0.01 [-.10, .12]</w:t>
            </w:r>
          </w:p>
        </w:tc>
        <w:tc>
          <w:tcPr>
            <w:tcW w:w="2200" w:type="dxa"/>
            <w:tcBorders>
              <w:top w:val="nil"/>
              <w:left w:val="nil"/>
              <w:bottom w:val="nil"/>
              <w:right w:val="nil"/>
            </w:tcBorders>
            <w:shd w:val="clear" w:color="000000" w:fill="D0CECE"/>
            <w:noWrap/>
            <w:vAlign w:val="center"/>
            <w:hideMark/>
          </w:tcPr>
          <w:p w14:paraId="6770E82F"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-0.15 [-.22, -.09]</w:t>
            </w:r>
          </w:p>
        </w:tc>
      </w:tr>
      <w:tr w:rsidR="00DB79C7" w:rsidRPr="00DB79C7" w14:paraId="5FBE2CD8" w14:textId="77777777" w:rsidTr="00DB79C7">
        <w:trPr>
          <w:trHeight w:val="315"/>
          <w:jc w:val="center"/>
        </w:trPr>
        <w:tc>
          <w:tcPr>
            <w:tcW w:w="1960" w:type="dxa"/>
            <w:tcBorders>
              <w:top w:val="nil"/>
              <w:left w:val="nil"/>
              <w:bottom w:val="nil"/>
              <w:right w:val="nil"/>
            </w:tcBorders>
            <w:shd w:val="clear" w:color="auto" w:fill="auto"/>
            <w:noWrap/>
            <w:vAlign w:val="center"/>
            <w:hideMark/>
          </w:tcPr>
          <w:p w14:paraId="1171D033" w14:textId="77777777" w:rsidR="00DB79C7" w:rsidRPr="00DB79C7" w:rsidRDefault="00DB79C7" w:rsidP="00DB79C7">
            <w:pPr>
              <w:spacing w:line="240" w:lineRule="auto"/>
              <w:rPr>
                <w:rFonts w:eastAsia="Times New Roman"/>
                <w:color w:val="000000"/>
              </w:rPr>
            </w:pPr>
            <w:r w:rsidRPr="00DB79C7">
              <w:rPr>
                <w:rFonts w:eastAsia="Times New Roman"/>
                <w:color w:val="000000"/>
              </w:rPr>
              <w:t>Avg. Filings</w:t>
            </w:r>
          </w:p>
        </w:tc>
        <w:tc>
          <w:tcPr>
            <w:tcW w:w="2140" w:type="dxa"/>
            <w:tcBorders>
              <w:top w:val="nil"/>
              <w:left w:val="nil"/>
              <w:bottom w:val="nil"/>
              <w:right w:val="nil"/>
            </w:tcBorders>
            <w:shd w:val="clear" w:color="auto" w:fill="auto"/>
            <w:noWrap/>
            <w:vAlign w:val="center"/>
            <w:hideMark/>
          </w:tcPr>
          <w:p w14:paraId="564CE681"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-0.00 [-.01, .01]</w:t>
            </w:r>
          </w:p>
        </w:tc>
        <w:tc>
          <w:tcPr>
            <w:tcW w:w="2200" w:type="dxa"/>
            <w:tcBorders>
              <w:top w:val="nil"/>
              <w:left w:val="nil"/>
              <w:bottom w:val="nil"/>
              <w:right w:val="nil"/>
            </w:tcBorders>
            <w:shd w:val="clear" w:color="auto" w:fill="auto"/>
            <w:noWrap/>
            <w:vAlign w:val="center"/>
            <w:hideMark/>
          </w:tcPr>
          <w:p w14:paraId="5F33C29F"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0.01 [-.00, .03]</w:t>
            </w:r>
          </w:p>
        </w:tc>
      </w:tr>
      <w:tr w:rsidR="00DB79C7" w:rsidRPr="00DB79C7" w14:paraId="4CBC7D41" w14:textId="77777777" w:rsidTr="00DB79C7">
        <w:trPr>
          <w:trHeight w:val="315"/>
          <w:jc w:val="center"/>
        </w:trPr>
        <w:tc>
          <w:tcPr>
            <w:tcW w:w="1960" w:type="dxa"/>
            <w:tcBorders>
              <w:top w:val="nil"/>
              <w:left w:val="nil"/>
              <w:bottom w:val="nil"/>
              <w:right w:val="nil"/>
            </w:tcBorders>
            <w:shd w:val="clear" w:color="auto" w:fill="auto"/>
            <w:noWrap/>
            <w:vAlign w:val="center"/>
            <w:hideMark/>
          </w:tcPr>
          <w:p w14:paraId="1DCB4791" w14:textId="77777777" w:rsidR="00DB79C7" w:rsidRPr="00DB79C7" w:rsidRDefault="00DB79C7" w:rsidP="00DB79C7">
            <w:pPr>
              <w:spacing w:line="240" w:lineRule="auto"/>
              <w:rPr>
                <w:rFonts w:eastAsia="Times New Roman"/>
                <w:color w:val="000000"/>
              </w:rPr>
            </w:pPr>
            <w:r w:rsidRPr="00DB79C7">
              <w:rPr>
                <w:rFonts w:eastAsia="Times New Roman"/>
                <w:color w:val="000000"/>
              </w:rPr>
              <w:t>Office Size</w:t>
            </w:r>
          </w:p>
        </w:tc>
        <w:tc>
          <w:tcPr>
            <w:tcW w:w="2140" w:type="dxa"/>
            <w:tcBorders>
              <w:top w:val="nil"/>
              <w:left w:val="nil"/>
              <w:bottom w:val="nil"/>
              <w:right w:val="nil"/>
            </w:tcBorders>
            <w:shd w:val="clear" w:color="000000" w:fill="D0CECE"/>
            <w:noWrap/>
            <w:vAlign w:val="center"/>
            <w:hideMark/>
          </w:tcPr>
          <w:p w14:paraId="1A854B23"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0.02 [.00, .03]</w:t>
            </w:r>
          </w:p>
        </w:tc>
        <w:tc>
          <w:tcPr>
            <w:tcW w:w="2200" w:type="dxa"/>
            <w:tcBorders>
              <w:top w:val="nil"/>
              <w:left w:val="nil"/>
              <w:bottom w:val="nil"/>
              <w:right w:val="nil"/>
            </w:tcBorders>
            <w:shd w:val="clear" w:color="auto" w:fill="auto"/>
            <w:noWrap/>
            <w:vAlign w:val="center"/>
            <w:hideMark/>
          </w:tcPr>
          <w:p w14:paraId="06A03FCE"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-0.03 [-.07, .02]</w:t>
            </w:r>
          </w:p>
        </w:tc>
      </w:tr>
      <w:tr w:rsidR="00DB79C7" w:rsidRPr="00DB79C7" w14:paraId="29FF5212" w14:textId="77777777" w:rsidTr="00DB79C7">
        <w:trPr>
          <w:trHeight w:val="315"/>
          <w:jc w:val="center"/>
        </w:trPr>
        <w:tc>
          <w:tcPr>
            <w:tcW w:w="1960" w:type="dxa"/>
            <w:tcBorders>
              <w:top w:val="nil"/>
              <w:left w:val="nil"/>
              <w:bottom w:val="nil"/>
              <w:right w:val="nil"/>
            </w:tcBorders>
            <w:shd w:val="clear" w:color="auto" w:fill="auto"/>
            <w:noWrap/>
            <w:vAlign w:val="center"/>
            <w:hideMark/>
          </w:tcPr>
          <w:p w14:paraId="761E0206" w14:textId="77777777" w:rsidR="00DB79C7" w:rsidRPr="00DB79C7" w:rsidRDefault="00DB79C7" w:rsidP="00DB79C7">
            <w:pPr>
              <w:spacing w:line="240" w:lineRule="auto"/>
              <w:rPr>
                <w:rFonts w:eastAsia="Times New Roman"/>
                <w:color w:val="000000"/>
              </w:rPr>
            </w:pPr>
            <w:r w:rsidRPr="00DB79C7">
              <w:rPr>
                <w:rFonts w:eastAsia="Times New Roman"/>
                <w:color w:val="000000"/>
              </w:rPr>
              <w:t>Top 15 Law School</w:t>
            </w:r>
          </w:p>
        </w:tc>
        <w:tc>
          <w:tcPr>
            <w:tcW w:w="2140" w:type="dxa"/>
            <w:tcBorders>
              <w:top w:val="nil"/>
              <w:left w:val="nil"/>
              <w:bottom w:val="nil"/>
              <w:right w:val="nil"/>
            </w:tcBorders>
            <w:shd w:val="clear" w:color="auto" w:fill="auto"/>
            <w:noWrap/>
            <w:vAlign w:val="center"/>
            <w:hideMark/>
          </w:tcPr>
          <w:p w14:paraId="78409118"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-0.05 [-.12, .02]</w:t>
            </w:r>
          </w:p>
        </w:tc>
        <w:tc>
          <w:tcPr>
            <w:tcW w:w="2200" w:type="dxa"/>
            <w:tcBorders>
              <w:top w:val="nil"/>
              <w:left w:val="nil"/>
              <w:bottom w:val="nil"/>
              <w:right w:val="nil"/>
            </w:tcBorders>
            <w:shd w:val="clear" w:color="auto" w:fill="auto"/>
            <w:noWrap/>
            <w:vAlign w:val="center"/>
            <w:hideMark/>
          </w:tcPr>
          <w:p w14:paraId="600B3BBB"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-0.04 [-.10, .02]</w:t>
            </w:r>
          </w:p>
        </w:tc>
      </w:tr>
      <w:tr w:rsidR="00DB79C7" w:rsidRPr="00DB79C7" w14:paraId="11DA4C96" w14:textId="77777777" w:rsidTr="00DB79C7">
        <w:trPr>
          <w:trHeight w:val="330"/>
          <w:jc w:val="center"/>
        </w:trPr>
        <w:tc>
          <w:tcPr>
            <w:tcW w:w="1960" w:type="dxa"/>
            <w:tcBorders>
              <w:top w:val="nil"/>
              <w:left w:val="nil"/>
              <w:bottom w:val="single" w:sz="8" w:space="0" w:color="auto"/>
              <w:right w:val="nil"/>
            </w:tcBorders>
            <w:shd w:val="clear" w:color="auto" w:fill="auto"/>
            <w:noWrap/>
            <w:vAlign w:val="center"/>
            <w:hideMark/>
          </w:tcPr>
          <w:p w14:paraId="42FC4DE9" w14:textId="77777777" w:rsidR="00DB79C7" w:rsidRPr="00DB79C7" w:rsidRDefault="00DB79C7" w:rsidP="00DB79C7">
            <w:pPr>
              <w:spacing w:line="240" w:lineRule="auto"/>
              <w:rPr>
                <w:rFonts w:eastAsia="Times New Roman"/>
                <w:color w:val="000000"/>
              </w:rPr>
            </w:pPr>
            <w:r w:rsidRPr="00DB79C7">
              <w:rPr>
                <w:rFonts w:eastAsia="Times New Roman"/>
                <w:color w:val="000000"/>
              </w:rPr>
              <w:t>Democratic Pres.</w:t>
            </w:r>
          </w:p>
        </w:tc>
        <w:tc>
          <w:tcPr>
            <w:tcW w:w="2140" w:type="dxa"/>
            <w:tcBorders>
              <w:top w:val="nil"/>
              <w:left w:val="nil"/>
              <w:bottom w:val="single" w:sz="8" w:space="0" w:color="auto"/>
              <w:right w:val="nil"/>
            </w:tcBorders>
            <w:shd w:val="clear" w:color="auto" w:fill="auto"/>
            <w:noWrap/>
            <w:vAlign w:val="center"/>
            <w:hideMark/>
          </w:tcPr>
          <w:p w14:paraId="6445C786"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-0.04 [-.09, .02]</w:t>
            </w:r>
          </w:p>
        </w:tc>
        <w:tc>
          <w:tcPr>
            <w:tcW w:w="2200" w:type="dxa"/>
            <w:tcBorders>
              <w:top w:val="nil"/>
              <w:left w:val="nil"/>
              <w:bottom w:val="single" w:sz="8" w:space="0" w:color="auto"/>
              <w:right w:val="nil"/>
            </w:tcBorders>
            <w:shd w:val="clear" w:color="auto" w:fill="auto"/>
            <w:noWrap/>
            <w:vAlign w:val="center"/>
            <w:hideMark/>
          </w:tcPr>
          <w:p w14:paraId="64043E63" w14:textId="77777777" w:rsidR="00DB79C7" w:rsidRPr="00DB79C7" w:rsidRDefault="00DB79C7" w:rsidP="00DB79C7">
            <w:pPr>
              <w:spacing w:line="240" w:lineRule="auto"/>
              <w:jc w:val="center"/>
              <w:rPr>
                <w:rFonts w:eastAsia="Times New Roman"/>
                <w:color w:val="000000"/>
              </w:rPr>
            </w:pPr>
            <w:r w:rsidRPr="00DB79C7">
              <w:rPr>
                <w:rFonts w:eastAsia="Times New Roman"/>
                <w:color w:val="000000"/>
              </w:rPr>
              <w:t>-0.06 [-.12, .00]</w:t>
            </w:r>
          </w:p>
        </w:tc>
      </w:tr>
    </w:tbl>
    <w:p w14:paraId="5A098FBB" w14:textId="319DDAC4" w:rsidR="00117CB9" w:rsidRDefault="00117CB9" w:rsidP="00DB79C7">
      <w:pPr>
        <w:spacing w:line="240" w:lineRule="auto"/>
        <w:ind w:left="1440"/>
      </w:pPr>
      <w:r>
        <w:t>Brackets represent 95% confidence intervals. Results for regressions available in Tables A1</w:t>
      </w:r>
      <w:r w:rsidR="002B6F07">
        <w:t>.</w:t>
      </w:r>
      <w:r w:rsidR="009F6BB7">
        <w:t xml:space="preserve"> Highlighted cells are statistically significant (p &lt; 0.05).</w:t>
      </w:r>
    </w:p>
    <w:p w14:paraId="6E553285" w14:textId="41ED8A4D" w:rsidR="00117CB9" w:rsidRPr="0002520C" w:rsidRDefault="00117CB9" w:rsidP="0002520C">
      <w:pPr>
        <w:jc w:val="center"/>
      </w:pPr>
      <w:r>
        <w:br w:type="page"/>
      </w:r>
      <w:r w:rsidRPr="00903A2F">
        <w:rPr>
          <w:b/>
        </w:rPr>
        <w:lastRenderedPageBreak/>
        <w:t>Figure 1: Ideological Distance Interactions</w:t>
      </w:r>
    </w:p>
    <w:p w14:paraId="5C7F65FD" w14:textId="7D0236AA" w:rsidR="00117CB9" w:rsidRDefault="00A15E3A" w:rsidP="00903A2F">
      <w:pPr>
        <w:spacing w:line="240" w:lineRule="auto"/>
        <w:ind w:right="1440"/>
        <w:jc w:val="center"/>
      </w:pPr>
      <w:r w:rsidRPr="00A15E3A">
        <w:rPr>
          <w:noProof/>
        </w:rPr>
        <w:drawing>
          <wp:inline distT="0" distB="0" distL="0" distR="0" wp14:anchorId="701510A1" wp14:editId="136662D6">
            <wp:extent cx="6143625" cy="409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4594" cy="4096396"/>
                    </a:xfrm>
                    <a:prstGeom prst="rect">
                      <a:avLst/>
                    </a:prstGeom>
                    <a:noFill/>
                    <a:ln>
                      <a:noFill/>
                    </a:ln>
                  </pic:spPr>
                </pic:pic>
              </a:graphicData>
            </a:graphic>
          </wp:inline>
        </w:drawing>
      </w:r>
    </w:p>
    <w:p w14:paraId="681EB9EC" w14:textId="77777777" w:rsidR="00117CB9" w:rsidRDefault="00117CB9" w:rsidP="00903A2F">
      <w:pPr>
        <w:spacing w:line="240" w:lineRule="auto"/>
        <w:ind w:right="1440"/>
      </w:pPr>
    </w:p>
    <w:p w14:paraId="28E3A956" w14:textId="5C620E48" w:rsidR="00117CB9" w:rsidRPr="0002520C" w:rsidRDefault="00117CB9" w:rsidP="0002520C">
      <w:pPr>
        <w:jc w:val="center"/>
      </w:pPr>
      <w:r>
        <w:br w:type="page"/>
      </w:r>
      <w:r w:rsidRPr="00903A2F">
        <w:rPr>
          <w:b/>
        </w:rPr>
        <w:lastRenderedPageBreak/>
        <w:t>Figure 2: Case Filings Interactions</w:t>
      </w:r>
    </w:p>
    <w:p w14:paraId="2E884588" w14:textId="4A9A67AC" w:rsidR="00117CB9" w:rsidRDefault="0002520C" w:rsidP="00903A2F">
      <w:pPr>
        <w:spacing w:line="240" w:lineRule="auto"/>
        <w:ind w:right="1440"/>
        <w:jc w:val="center"/>
      </w:pPr>
      <w:r w:rsidRPr="0002520C">
        <w:rPr>
          <w:noProof/>
        </w:rPr>
        <w:drawing>
          <wp:inline distT="0" distB="0" distL="0" distR="0" wp14:anchorId="5744CB7E" wp14:editId="6887D9BF">
            <wp:extent cx="6129338" cy="408622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3977" cy="4089318"/>
                    </a:xfrm>
                    <a:prstGeom prst="rect">
                      <a:avLst/>
                    </a:prstGeom>
                    <a:noFill/>
                    <a:ln>
                      <a:noFill/>
                    </a:ln>
                  </pic:spPr>
                </pic:pic>
              </a:graphicData>
            </a:graphic>
          </wp:inline>
        </w:drawing>
      </w:r>
    </w:p>
    <w:p w14:paraId="6DB09938" w14:textId="77777777" w:rsidR="00B401C4" w:rsidRDefault="00B401C4" w:rsidP="00903A2F">
      <w:pPr>
        <w:spacing w:line="240" w:lineRule="auto"/>
        <w:ind w:right="1440"/>
        <w:jc w:val="center"/>
      </w:pPr>
    </w:p>
    <w:p w14:paraId="63EB4F69" w14:textId="36071B5E" w:rsidR="00B401C4" w:rsidRPr="0002520C" w:rsidRDefault="00B401C4" w:rsidP="0002520C">
      <w:pPr>
        <w:jc w:val="center"/>
      </w:pPr>
      <w:r>
        <w:br w:type="page"/>
      </w:r>
      <w:r w:rsidRPr="00903A2F">
        <w:rPr>
          <w:b/>
        </w:rPr>
        <w:lastRenderedPageBreak/>
        <w:t>Figure 3: Office Size Interactions</w:t>
      </w:r>
    </w:p>
    <w:p w14:paraId="761B531A" w14:textId="4C1FFF2D" w:rsidR="00B401C4" w:rsidRDefault="0002520C" w:rsidP="00903A2F">
      <w:pPr>
        <w:spacing w:line="240" w:lineRule="auto"/>
        <w:ind w:right="1440"/>
        <w:jc w:val="center"/>
      </w:pPr>
      <w:r w:rsidRPr="0002520C">
        <w:rPr>
          <w:noProof/>
        </w:rPr>
        <w:drawing>
          <wp:inline distT="0" distB="0" distL="0" distR="0" wp14:anchorId="768BA077" wp14:editId="701FDC83">
            <wp:extent cx="6086475" cy="4057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1346" cy="4060897"/>
                    </a:xfrm>
                    <a:prstGeom prst="rect">
                      <a:avLst/>
                    </a:prstGeom>
                    <a:noFill/>
                    <a:ln>
                      <a:noFill/>
                    </a:ln>
                  </pic:spPr>
                </pic:pic>
              </a:graphicData>
            </a:graphic>
          </wp:inline>
        </w:drawing>
      </w:r>
    </w:p>
    <w:p w14:paraId="74F7FE07" w14:textId="56BEFC19" w:rsidR="00A15E3A" w:rsidRDefault="00A15E3A" w:rsidP="00E029C2">
      <w:pPr>
        <w:spacing w:line="240" w:lineRule="auto"/>
        <w:ind w:right="1440"/>
      </w:pPr>
    </w:p>
    <w:p w14:paraId="77DA3135" w14:textId="6911560A" w:rsidR="00A15E3A" w:rsidRDefault="00A15E3A" w:rsidP="00E029C2">
      <w:pPr>
        <w:spacing w:line="240" w:lineRule="auto"/>
        <w:ind w:right="1440"/>
      </w:pPr>
    </w:p>
    <w:p w14:paraId="3CEE16A0" w14:textId="77777777" w:rsidR="00F15794" w:rsidRDefault="00A15E3A" w:rsidP="007D01F7">
      <w:pPr>
        <w:spacing w:line="240" w:lineRule="auto"/>
      </w:pPr>
      <w:r>
        <w:br w:type="page"/>
      </w:r>
    </w:p>
    <w:p w14:paraId="67FBB99D" w14:textId="6D3C08A2" w:rsidR="00F15794" w:rsidRDefault="00F15794" w:rsidP="007D01F7">
      <w:pPr>
        <w:spacing w:line="240" w:lineRule="auto"/>
        <w:rPr>
          <w:b/>
        </w:rPr>
      </w:pPr>
      <w:r>
        <w:rPr>
          <w:b/>
        </w:rPr>
        <w:lastRenderedPageBreak/>
        <w:t>Table 8: Nomination to the Federal Judiciary and Attendance at an Elite Law School</w:t>
      </w:r>
    </w:p>
    <w:tbl>
      <w:tblPr>
        <w:tblW w:w="5280" w:type="dxa"/>
        <w:jc w:val="center"/>
        <w:tblLook w:val="04A0" w:firstRow="1" w:lastRow="0" w:firstColumn="1" w:lastColumn="0" w:noHBand="0" w:noVBand="1"/>
      </w:tblPr>
      <w:tblGrid>
        <w:gridCol w:w="1922"/>
        <w:gridCol w:w="1809"/>
        <w:gridCol w:w="1711"/>
      </w:tblGrid>
      <w:tr w:rsidR="007D01F7" w:rsidRPr="007D01F7" w14:paraId="0C3A02EA" w14:textId="77777777" w:rsidTr="00F15794">
        <w:trPr>
          <w:trHeight w:val="330"/>
          <w:jc w:val="center"/>
        </w:trPr>
        <w:tc>
          <w:tcPr>
            <w:tcW w:w="1760" w:type="dxa"/>
            <w:tcBorders>
              <w:top w:val="nil"/>
              <w:left w:val="nil"/>
              <w:bottom w:val="single" w:sz="8" w:space="0" w:color="auto"/>
              <w:right w:val="nil"/>
            </w:tcBorders>
            <w:shd w:val="clear" w:color="auto" w:fill="auto"/>
            <w:noWrap/>
            <w:vAlign w:val="center"/>
            <w:hideMark/>
          </w:tcPr>
          <w:p w14:paraId="73B07D1D" w14:textId="40F666EE" w:rsidR="007D01F7" w:rsidRPr="007D01F7" w:rsidRDefault="007D01F7" w:rsidP="007D01F7">
            <w:pPr>
              <w:spacing w:line="240" w:lineRule="auto"/>
              <w:rPr>
                <w:rFonts w:eastAsia="Times New Roman"/>
                <w:color w:val="000000"/>
              </w:rPr>
            </w:pPr>
          </w:p>
        </w:tc>
        <w:tc>
          <w:tcPr>
            <w:tcW w:w="1809" w:type="dxa"/>
            <w:tcBorders>
              <w:top w:val="nil"/>
              <w:left w:val="nil"/>
              <w:bottom w:val="single" w:sz="8" w:space="0" w:color="auto"/>
              <w:right w:val="nil"/>
            </w:tcBorders>
            <w:shd w:val="clear" w:color="auto" w:fill="auto"/>
            <w:noWrap/>
            <w:vAlign w:val="center"/>
            <w:hideMark/>
          </w:tcPr>
          <w:p w14:paraId="54BCAEB4"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Yes</w:t>
            </w:r>
          </w:p>
        </w:tc>
        <w:tc>
          <w:tcPr>
            <w:tcW w:w="1711" w:type="dxa"/>
            <w:tcBorders>
              <w:top w:val="nil"/>
              <w:left w:val="nil"/>
              <w:bottom w:val="single" w:sz="8" w:space="0" w:color="auto"/>
              <w:right w:val="nil"/>
            </w:tcBorders>
            <w:shd w:val="clear" w:color="auto" w:fill="auto"/>
            <w:noWrap/>
            <w:vAlign w:val="center"/>
            <w:hideMark/>
          </w:tcPr>
          <w:p w14:paraId="65872241"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No</w:t>
            </w:r>
          </w:p>
        </w:tc>
      </w:tr>
      <w:tr w:rsidR="007D01F7" w:rsidRPr="007D01F7" w14:paraId="3CAC1F74" w14:textId="77777777" w:rsidTr="00F15794">
        <w:trPr>
          <w:trHeight w:val="315"/>
          <w:jc w:val="center"/>
        </w:trPr>
        <w:tc>
          <w:tcPr>
            <w:tcW w:w="1760" w:type="dxa"/>
            <w:tcBorders>
              <w:top w:val="nil"/>
              <w:left w:val="nil"/>
              <w:bottom w:val="nil"/>
              <w:right w:val="nil"/>
            </w:tcBorders>
            <w:shd w:val="clear" w:color="auto" w:fill="auto"/>
            <w:noWrap/>
            <w:vAlign w:val="center"/>
            <w:hideMark/>
          </w:tcPr>
          <w:p w14:paraId="288E82AE" w14:textId="77777777" w:rsidR="007D01F7" w:rsidRPr="007D01F7" w:rsidRDefault="007D01F7" w:rsidP="007D01F7">
            <w:pPr>
              <w:spacing w:line="240" w:lineRule="auto"/>
              <w:rPr>
                <w:rFonts w:eastAsia="Times New Roman"/>
                <w:color w:val="000000"/>
              </w:rPr>
            </w:pPr>
            <w:r w:rsidRPr="007D01F7">
              <w:rPr>
                <w:rFonts w:eastAsia="Times New Roman"/>
                <w:color w:val="000000"/>
              </w:rPr>
              <w:t>Underrepresented</w:t>
            </w:r>
          </w:p>
        </w:tc>
        <w:tc>
          <w:tcPr>
            <w:tcW w:w="1809" w:type="dxa"/>
            <w:tcBorders>
              <w:top w:val="nil"/>
              <w:left w:val="nil"/>
              <w:bottom w:val="nil"/>
              <w:right w:val="nil"/>
            </w:tcBorders>
            <w:shd w:val="clear" w:color="auto" w:fill="auto"/>
            <w:noWrap/>
            <w:vAlign w:val="center"/>
            <w:hideMark/>
          </w:tcPr>
          <w:p w14:paraId="7E382579"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0.09 [-.02, .21]</w:t>
            </w:r>
          </w:p>
        </w:tc>
        <w:tc>
          <w:tcPr>
            <w:tcW w:w="1711" w:type="dxa"/>
            <w:tcBorders>
              <w:top w:val="nil"/>
              <w:left w:val="nil"/>
              <w:bottom w:val="nil"/>
              <w:right w:val="nil"/>
            </w:tcBorders>
            <w:shd w:val="clear" w:color="auto" w:fill="auto"/>
            <w:noWrap/>
            <w:vAlign w:val="center"/>
            <w:hideMark/>
          </w:tcPr>
          <w:p w14:paraId="4B02921C"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0.25 [.16, .34]</w:t>
            </w:r>
          </w:p>
        </w:tc>
      </w:tr>
      <w:tr w:rsidR="007D01F7" w:rsidRPr="007D01F7" w14:paraId="32B77CA4" w14:textId="77777777" w:rsidTr="00F15794">
        <w:trPr>
          <w:trHeight w:val="330"/>
          <w:jc w:val="center"/>
        </w:trPr>
        <w:tc>
          <w:tcPr>
            <w:tcW w:w="1760" w:type="dxa"/>
            <w:tcBorders>
              <w:top w:val="nil"/>
              <w:left w:val="nil"/>
              <w:bottom w:val="single" w:sz="8" w:space="0" w:color="auto"/>
              <w:right w:val="nil"/>
            </w:tcBorders>
            <w:shd w:val="clear" w:color="auto" w:fill="auto"/>
            <w:noWrap/>
            <w:vAlign w:val="center"/>
            <w:hideMark/>
          </w:tcPr>
          <w:p w14:paraId="323F7278" w14:textId="77777777" w:rsidR="007D01F7" w:rsidRPr="007D01F7" w:rsidRDefault="007D01F7" w:rsidP="007D01F7">
            <w:pPr>
              <w:spacing w:line="240" w:lineRule="auto"/>
              <w:rPr>
                <w:rFonts w:eastAsia="Times New Roman"/>
                <w:color w:val="000000"/>
              </w:rPr>
            </w:pPr>
            <w:r w:rsidRPr="007D01F7">
              <w:rPr>
                <w:rFonts w:eastAsia="Times New Roman"/>
                <w:color w:val="000000"/>
              </w:rPr>
              <w:t>White Male</w:t>
            </w:r>
          </w:p>
        </w:tc>
        <w:tc>
          <w:tcPr>
            <w:tcW w:w="1809" w:type="dxa"/>
            <w:tcBorders>
              <w:top w:val="nil"/>
              <w:left w:val="nil"/>
              <w:bottom w:val="single" w:sz="8" w:space="0" w:color="auto"/>
              <w:right w:val="nil"/>
            </w:tcBorders>
            <w:shd w:val="clear" w:color="auto" w:fill="auto"/>
            <w:noWrap/>
            <w:vAlign w:val="center"/>
            <w:hideMark/>
          </w:tcPr>
          <w:p w14:paraId="47172A74"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0.08 [.03, .12]</w:t>
            </w:r>
          </w:p>
        </w:tc>
        <w:tc>
          <w:tcPr>
            <w:tcW w:w="1711" w:type="dxa"/>
            <w:tcBorders>
              <w:top w:val="nil"/>
              <w:left w:val="nil"/>
              <w:bottom w:val="single" w:sz="8" w:space="0" w:color="auto"/>
              <w:right w:val="nil"/>
            </w:tcBorders>
            <w:shd w:val="clear" w:color="auto" w:fill="auto"/>
            <w:noWrap/>
            <w:vAlign w:val="center"/>
            <w:hideMark/>
          </w:tcPr>
          <w:p w14:paraId="5EC47B35"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0.09 [.06, .12]</w:t>
            </w:r>
          </w:p>
        </w:tc>
      </w:tr>
    </w:tbl>
    <w:p w14:paraId="270C6DD8" w14:textId="77777777" w:rsidR="007D01F7" w:rsidRPr="00CF2898" w:rsidRDefault="007D01F7" w:rsidP="007D01F7">
      <w:pPr>
        <w:jc w:val="center"/>
        <w:rPr>
          <w:b/>
        </w:rPr>
      </w:pPr>
    </w:p>
    <w:p w14:paraId="3DCF9234" w14:textId="77777777" w:rsidR="00CF2898" w:rsidRDefault="00CF2898"/>
    <w:p w14:paraId="45619603" w14:textId="77777777" w:rsidR="00CF2898" w:rsidRDefault="00CF2898"/>
    <w:p w14:paraId="005E3C34" w14:textId="77777777" w:rsidR="00CF2898" w:rsidRDefault="00CF2898"/>
    <w:p w14:paraId="4B0A6312" w14:textId="77777777" w:rsidR="00CF2898" w:rsidRDefault="00CF2898"/>
    <w:p w14:paraId="25173978" w14:textId="77777777" w:rsidR="00CF2898" w:rsidRDefault="00CF2898"/>
    <w:p w14:paraId="21693CE7" w14:textId="77777777" w:rsidR="00CF2898" w:rsidRDefault="00CF2898"/>
    <w:p w14:paraId="54738849" w14:textId="77777777" w:rsidR="00CF2898" w:rsidRDefault="00CF2898"/>
    <w:p w14:paraId="220B059D" w14:textId="2360D261" w:rsidR="00CF2898" w:rsidRDefault="00CF2898">
      <w:r>
        <w:br w:type="page"/>
      </w:r>
    </w:p>
    <w:p w14:paraId="42C7FD56" w14:textId="1394BEE7" w:rsidR="00483858" w:rsidRDefault="00483858" w:rsidP="00483858">
      <w:pPr>
        <w:spacing w:line="240" w:lineRule="auto"/>
        <w:jc w:val="center"/>
        <w:rPr>
          <w:b/>
        </w:rPr>
      </w:pPr>
      <w:r>
        <w:rPr>
          <w:b/>
        </w:rPr>
        <w:lastRenderedPageBreak/>
        <w:t>Table 9: Promotion and Nomination by Presidential Partisanship</w:t>
      </w:r>
    </w:p>
    <w:tbl>
      <w:tblPr>
        <w:tblW w:w="5760" w:type="dxa"/>
        <w:jc w:val="center"/>
        <w:tblLook w:val="04A0" w:firstRow="1" w:lastRow="0" w:firstColumn="1" w:lastColumn="0" w:noHBand="0" w:noVBand="1"/>
      </w:tblPr>
      <w:tblGrid>
        <w:gridCol w:w="1922"/>
        <w:gridCol w:w="2038"/>
        <w:gridCol w:w="1800"/>
      </w:tblGrid>
      <w:tr w:rsidR="007D01F7" w:rsidRPr="007D01F7" w14:paraId="5CCBF540" w14:textId="77777777" w:rsidTr="00483858">
        <w:trPr>
          <w:trHeight w:val="330"/>
          <w:jc w:val="center"/>
        </w:trPr>
        <w:tc>
          <w:tcPr>
            <w:tcW w:w="1922" w:type="dxa"/>
            <w:tcBorders>
              <w:top w:val="nil"/>
              <w:left w:val="nil"/>
              <w:bottom w:val="single" w:sz="8" w:space="0" w:color="auto"/>
              <w:right w:val="nil"/>
            </w:tcBorders>
            <w:shd w:val="clear" w:color="auto" w:fill="auto"/>
            <w:noWrap/>
            <w:vAlign w:val="center"/>
            <w:hideMark/>
          </w:tcPr>
          <w:p w14:paraId="16DDFFE9" w14:textId="77777777" w:rsidR="007D01F7" w:rsidRPr="007D01F7" w:rsidRDefault="007D01F7" w:rsidP="007D01F7">
            <w:pPr>
              <w:spacing w:line="240" w:lineRule="auto"/>
              <w:rPr>
                <w:rFonts w:eastAsia="Times New Roman"/>
                <w:color w:val="000000"/>
              </w:rPr>
            </w:pPr>
            <w:r w:rsidRPr="007D01F7">
              <w:rPr>
                <w:rFonts w:eastAsia="Times New Roman"/>
                <w:color w:val="000000"/>
              </w:rPr>
              <w:t> </w:t>
            </w:r>
          </w:p>
        </w:tc>
        <w:tc>
          <w:tcPr>
            <w:tcW w:w="2038" w:type="dxa"/>
            <w:tcBorders>
              <w:top w:val="nil"/>
              <w:left w:val="nil"/>
              <w:bottom w:val="single" w:sz="8" w:space="0" w:color="auto"/>
              <w:right w:val="nil"/>
            </w:tcBorders>
            <w:shd w:val="clear" w:color="auto" w:fill="auto"/>
            <w:noWrap/>
            <w:vAlign w:val="center"/>
            <w:hideMark/>
          </w:tcPr>
          <w:p w14:paraId="5DAF4C0F"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Bureaucracy</w:t>
            </w:r>
          </w:p>
        </w:tc>
        <w:tc>
          <w:tcPr>
            <w:tcW w:w="1800" w:type="dxa"/>
            <w:tcBorders>
              <w:top w:val="nil"/>
              <w:left w:val="nil"/>
              <w:bottom w:val="single" w:sz="8" w:space="0" w:color="auto"/>
              <w:right w:val="nil"/>
            </w:tcBorders>
            <w:shd w:val="clear" w:color="auto" w:fill="auto"/>
            <w:noWrap/>
            <w:vAlign w:val="center"/>
            <w:hideMark/>
          </w:tcPr>
          <w:p w14:paraId="2905C10E"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Judiciary</w:t>
            </w:r>
          </w:p>
        </w:tc>
      </w:tr>
      <w:tr w:rsidR="007D01F7" w:rsidRPr="007D01F7" w14:paraId="71CA2AD3" w14:textId="77777777" w:rsidTr="00483858">
        <w:trPr>
          <w:trHeight w:val="315"/>
          <w:jc w:val="center"/>
        </w:trPr>
        <w:tc>
          <w:tcPr>
            <w:tcW w:w="1922" w:type="dxa"/>
            <w:tcBorders>
              <w:top w:val="nil"/>
              <w:left w:val="nil"/>
              <w:bottom w:val="nil"/>
              <w:right w:val="nil"/>
            </w:tcBorders>
            <w:shd w:val="clear" w:color="auto" w:fill="auto"/>
            <w:noWrap/>
            <w:vAlign w:val="center"/>
            <w:hideMark/>
          </w:tcPr>
          <w:p w14:paraId="178C76D0" w14:textId="77777777" w:rsidR="007D01F7" w:rsidRPr="007D01F7" w:rsidRDefault="007D01F7" w:rsidP="007D01F7">
            <w:pPr>
              <w:spacing w:line="240" w:lineRule="auto"/>
              <w:rPr>
                <w:rFonts w:eastAsia="Times New Roman"/>
                <w:color w:val="000000"/>
              </w:rPr>
            </w:pPr>
            <w:r w:rsidRPr="007D01F7">
              <w:rPr>
                <w:rFonts w:eastAsia="Times New Roman"/>
                <w:color w:val="000000"/>
              </w:rPr>
              <w:t>Underrepresented</w:t>
            </w:r>
          </w:p>
        </w:tc>
        <w:tc>
          <w:tcPr>
            <w:tcW w:w="2038" w:type="dxa"/>
            <w:tcBorders>
              <w:top w:val="nil"/>
              <w:left w:val="nil"/>
              <w:bottom w:val="nil"/>
              <w:right w:val="nil"/>
            </w:tcBorders>
            <w:shd w:val="clear" w:color="auto" w:fill="auto"/>
            <w:noWrap/>
            <w:vAlign w:val="center"/>
            <w:hideMark/>
          </w:tcPr>
          <w:p w14:paraId="02B6C5E2"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0.12</w:t>
            </w:r>
          </w:p>
        </w:tc>
        <w:tc>
          <w:tcPr>
            <w:tcW w:w="1800" w:type="dxa"/>
            <w:tcBorders>
              <w:top w:val="nil"/>
              <w:left w:val="nil"/>
              <w:bottom w:val="nil"/>
              <w:right w:val="nil"/>
            </w:tcBorders>
            <w:shd w:val="clear" w:color="auto" w:fill="auto"/>
            <w:noWrap/>
            <w:vAlign w:val="center"/>
            <w:hideMark/>
          </w:tcPr>
          <w:p w14:paraId="38D22B0C"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0.24</w:t>
            </w:r>
          </w:p>
        </w:tc>
      </w:tr>
      <w:tr w:rsidR="007D01F7" w:rsidRPr="007D01F7" w14:paraId="35D3A876" w14:textId="77777777" w:rsidTr="00483858">
        <w:trPr>
          <w:trHeight w:val="315"/>
          <w:jc w:val="center"/>
        </w:trPr>
        <w:tc>
          <w:tcPr>
            <w:tcW w:w="1922" w:type="dxa"/>
            <w:tcBorders>
              <w:top w:val="nil"/>
              <w:left w:val="nil"/>
              <w:bottom w:val="nil"/>
              <w:right w:val="nil"/>
            </w:tcBorders>
            <w:shd w:val="clear" w:color="auto" w:fill="auto"/>
            <w:noWrap/>
            <w:vAlign w:val="center"/>
            <w:hideMark/>
          </w:tcPr>
          <w:p w14:paraId="73D9CBB9" w14:textId="77777777" w:rsidR="007D01F7" w:rsidRPr="007D01F7" w:rsidRDefault="007D01F7" w:rsidP="007D01F7">
            <w:pPr>
              <w:spacing w:line="240" w:lineRule="auto"/>
              <w:rPr>
                <w:rFonts w:eastAsia="Times New Roman"/>
                <w:color w:val="000000"/>
              </w:rPr>
            </w:pPr>
            <w:r w:rsidRPr="007D01F7">
              <w:rPr>
                <w:rFonts w:eastAsia="Times New Roman"/>
                <w:color w:val="000000"/>
              </w:rPr>
              <w:t>White Male</w:t>
            </w:r>
          </w:p>
        </w:tc>
        <w:tc>
          <w:tcPr>
            <w:tcW w:w="2038" w:type="dxa"/>
            <w:tcBorders>
              <w:top w:val="nil"/>
              <w:left w:val="nil"/>
              <w:bottom w:val="nil"/>
              <w:right w:val="nil"/>
            </w:tcBorders>
            <w:shd w:val="clear" w:color="auto" w:fill="auto"/>
            <w:noWrap/>
            <w:vAlign w:val="center"/>
            <w:hideMark/>
          </w:tcPr>
          <w:p w14:paraId="056967C7"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0.05</w:t>
            </w:r>
          </w:p>
        </w:tc>
        <w:tc>
          <w:tcPr>
            <w:tcW w:w="1800" w:type="dxa"/>
            <w:tcBorders>
              <w:top w:val="nil"/>
              <w:left w:val="nil"/>
              <w:bottom w:val="nil"/>
              <w:right w:val="nil"/>
            </w:tcBorders>
            <w:shd w:val="clear" w:color="auto" w:fill="auto"/>
            <w:noWrap/>
            <w:vAlign w:val="center"/>
            <w:hideMark/>
          </w:tcPr>
          <w:p w14:paraId="37BF029A"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0.02</w:t>
            </w:r>
          </w:p>
        </w:tc>
      </w:tr>
      <w:tr w:rsidR="007D01F7" w:rsidRPr="007D01F7" w14:paraId="2BE9BB1E" w14:textId="77777777" w:rsidTr="00483858">
        <w:trPr>
          <w:trHeight w:val="330"/>
          <w:jc w:val="center"/>
        </w:trPr>
        <w:tc>
          <w:tcPr>
            <w:tcW w:w="1922" w:type="dxa"/>
            <w:tcBorders>
              <w:top w:val="nil"/>
              <w:left w:val="nil"/>
              <w:bottom w:val="nil"/>
              <w:right w:val="nil"/>
            </w:tcBorders>
            <w:shd w:val="clear" w:color="auto" w:fill="auto"/>
            <w:noWrap/>
            <w:vAlign w:val="center"/>
            <w:hideMark/>
          </w:tcPr>
          <w:p w14:paraId="13F27A88" w14:textId="77777777" w:rsidR="007D01F7" w:rsidRPr="007D01F7" w:rsidRDefault="007D01F7" w:rsidP="007D01F7">
            <w:pPr>
              <w:spacing w:line="240" w:lineRule="auto"/>
              <w:rPr>
                <w:rFonts w:eastAsia="Times New Roman"/>
                <w:color w:val="000000"/>
              </w:rPr>
            </w:pPr>
            <w:r w:rsidRPr="007D01F7">
              <w:rPr>
                <w:rFonts w:eastAsia="Times New Roman"/>
                <w:color w:val="000000"/>
              </w:rPr>
              <w:t>Difference</w:t>
            </w:r>
          </w:p>
        </w:tc>
        <w:tc>
          <w:tcPr>
            <w:tcW w:w="2038" w:type="dxa"/>
            <w:tcBorders>
              <w:top w:val="nil"/>
              <w:left w:val="nil"/>
              <w:bottom w:val="nil"/>
              <w:right w:val="nil"/>
            </w:tcBorders>
            <w:shd w:val="clear" w:color="auto" w:fill="auto"/>
            <w:noWrap/>
            <w:vAlign w:val="center"/>
            <w:hideMark/>
          </w:tcPr>
          <w:p w14:paraId="585367B4"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0.07 [-.03, .17]</w:t>
            </w:r>
          </w:p>
        </w:tc>
        <w:tc>
          <w:tcPr>
            <w:tcW w:w="1800" w:type="dxa"/>
            <w:tcBorders>
              <w:top w:val="nil"/>
              <w:left w:val="nil"/>
              <w:bottom w:val="nil"/>
              <w:right w:val="nil"/>
            </w:tcBorders>
            <w:shd w:val="clear" w:color="auto" w:fill="auto"/>
            <w:noWrap/>
            <w:vAlign w:val="center"/>
            <w:hideMark/>
          </w:tcPr>
          <w:p w14:paraId="12BE5C5B"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0.22 [.11, .33]</w:t>
            </w:r>
          </w:p>
        </w:tc>
      </w:tr>
      <w:tr w:rsidR="007D01F7" w:rsidRPr="007D01F7" w14:paraId="4E210C34" w14:textId="77777777" w:rsidTr="00483858">
        <w:trPr>
          <w:trHeight w:val="315"/>
          <w:jc w:val="center"/>
        </w:trPr>
        <w:tc>
          <w:tcPr>
            <w:tcW w:w="1922" w:type="dxa"/>
            <w:tcBorders>
              <w:top w:val="single" w:sz="8" w:space="0" w:color="auto"/>
              <w:left w:val="nil"/>
              <w:bottom w:val="nil"/>
              <w:right w:val="nil"/>
            </w:tcBorders>
            <w:shd w:val="clear" w:color="auto" w:fill="auto"/>
            <w:noWrap/>
            <w:vAlign w:val="center"/>
            <w:hideMark/>
          </w:tcPr>
          <w:p w14:paraId="40BC403F" w14:textId="77777777" w:rsidR="007D01F7" w:rsidRPr="007D01F7" w:rsidRDefault="007D01F7" w:rsidP="007D01F7">
            <w:pPr>
              <w:spacing w:line="240" w:lineRule="auto"/>
              <w:rPr>
                <w:rFonts w:eastAsia="Times New Roman"/>
                <w:color w:val="000000"/>
              </w:rPr>
            </w:pPr>
            <w:r w:rsidRPr="007D01F7">
              <w:rPr>
                <w:rFonts w:eastAsia="Times New Roman"/>
                <w:color w:val="000000"/>
              </w:rPr>
              <w:t> </w:t>
            </w:r>
          </w:p>
        </w:tc>
        <w:tc>
          <w:tcPr>
            <w:tcW w:w="3838" w:type="dxa"/>
            <w:gridSpan w:val="2"/>
            <w:tcBorders>
              <w:top w:val="single" w:sz="8" w:space="0" w:color="auto"/>
              <w:left w:val="nil"/>
              <w:bottom w:val="nil"/>
              <w:right w:val="nil"/>
            </w:tcBorders>
            <w:shd w:val="clear" w:color="auto" w:fill="auto"/>
            <w:noWrap/>
            <w:vAlign w:val="center"/>
            <w:hideMark/>
          </w:tcPr>
          <w:p w14:paraId="10F97C45"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Republican President</w:t>
            </w:r>
          </w:p>
        </w:tc>
      </w:tr>
      <w:tr w:rsidR="007D01F7" w:rsidRPr="007D01F7" w14:paraId="45958A42" w14:textId="77777777" w:rsidTr="00483858">
        <w:trPr>
          <w:trHeight w:val="330"/>
          <w:jc w:val="center"/>
        </w:trPr>
        <w:tc>
          <w:tcPr>
            <w:tcW w:w="1922" w:type="dxa"/>
            <w:tcBorders>
              <w:top w:val="nil"/>
              <w:left w:val="nil"/>
              <w:bottom w:val="single" w:sz="8" w:space="0" w:color="auto"/>
              <w:right w:val="nil"/>
            </w:tcBorders>
            <w:shd w:val="clear" w:color="auto" w:fill="auto"/>
            <w:noWrap/>
            <w:vAlign w:val="center"/>
            <w:hideMark/>
          </w:tcPr>
          <w:p w14:paraId="64DDF603" w14:textId="77777777" w:rsidR="007D01F7" w:rsidRPr="007D01F7" w:rsidRDefault="007D01F7" w:rsidP="007D01F7">
            <w:pPr>
              <w:spacing w:line="240" w:lineRule="auto"/>
              <w:rPr>
                <w:rFonts w:eastAsia="Times New Roman"/>
                <w:color w:val="000000"/>
              </w:rPr>
            </w:pPr>
            <w:r w:rsidRPr="007D01F7">
              <w:rPr>
                <w:rFonts w:eastAsia="Times New Roman"/>
                <w:color w:val="000000"/>
              </w:rPr>
              <w:t> </w:t>
            </w:r>
          </w:p>
        </w:tc>
        <w:tc>
          <w:tcPr>
            <w:tcW w:w="2038" w:type="dxa"/>
            <w:tcBorders>
              <w:top w:val="nil"/>
              <w:left w:val="nil"/>
              <w:bottom w:val="single" w:sz="8" w:space="0" w:color="auto"/>
              <w:right w:val="nil"/>
            </w:tcBorders>
            <w:shd w:val="clear" w:color="auto" w:fill="auto"/>
            <w:noWrap/>
            <w:vAlign w:val="center"/>
            <w:hideMark/>
          </w:tcPr>
          <w:p w14:paraId="3233CA1A"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Bureaucracy</w:t>
            </w:r>
          </w:p>
        </w:tc>
        <w:tc>
          <w:tcPr>
            <w:tcW w:w="1800" w:type="dxa"/>
            <w:tcBorders>
              <w:top w:val="nil"/>
              <w:left w:val="nil"/>
              <w:bottom w:val="single" w:sz="8" w:space="0" w:color="auto"/>
              <w:right w:val="nil"/>
            </w:tcBorders>
            <w:shd w:val="clear" w:color="auto" w:fill="auto"/>
            <w:noWrap/>
            <w:vAlign w:val="center"/>
            <w:hideMark/>
          </w:tcPr>
          <w:p w14:paraId="07DD0856"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Judiciary</w:t>
            </w:r>
          </w:p>
        </w:tc>
      </w:tr>
      <w:tr w:rsidR="007D01F7" w:rsidRPr="007D01F7" w14:paraId="051E59BF" w14:textId="77777777" w:rsidTr="00483858">
        <w:trPr>
          <w:trHeight w:val="315"/>
          <w:jc w:val="center"/>
        </w:trPr>
        <w:tc>
          <w:tcPr>
            <w:tcW w:w="1922" w:type="dxa"/>
            <w:tcBorders>
              <w:top w:val="nil"/>
              <w:left w:val="nil"/>
              <w:bottom w:val="nil"/>
              <w:right w:val="nil"/>
            </w:tcBorders>
            <w:shd w:val="clear" w:color="auto" w:fill="auto"/>
            <w:noWrap/>
            <w:vAlign w:val="center"/>
            <w:hideMark/>
          </w:tcPr>
          <w:p w14:paraId="14E5D69A" w14:textId="77777777" w:rsidR="007D01F7" w:rsidRPr="007D01F7" w:rsidRDefault="007D01F7" w:rsidP="007D01F7">
            <w:pPr>
              <w:spacing w:line="240" w:lineRule="auto"/>
              <w:rPr>
                <w:rFonts w:eastAsia="Times New Roman"/>
                <w:color w:val="000000"/>
              </w:rPr>
            </w:pPr>
            <w:r w:rsidRPr="007D01F7">
              <w:rPr>
                <w:rFonts w:eastAsia="Times New Roman"/>
                <w:color w:val="000000"/>
              </w:rPr>
              <w:t>Underrepresented</w:t>
            </w:r>
          </w:p>
        </w:tc>
        <w:tc>
          <w:tcPr>
            <w:tcW w:w="2038" w:type="dxa"/>
            <w:tcBorders>
              <w:top w:val="nil"/>
              <w:left w:val="nil"/>
              <w:bottom w:val="nil"/>
              <w:right w:val="nil"/>
            </w:tcBorders>
            <w:shd w:val="clear" w:color="auto" w:fill="auto"/>
            <w:noWrap/>
            <w:vAlign w:val="center"/>
            <w:hideMark/>
          </w:tcPr>
          <w:p w14:paraId="50669681"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0.18</w:t>
            </w:r>
          </w:p>
        </w:tc>
        <w:tc>
          <w:tcPr>
            <w:tcW w:w="1800" w:type="dxa"/>
            <w:tcBorders>
              <w:top w:val="nil"/>
              <w:left w:val="nil"/>
              <w:bottom w:val="nil"/>
              <w:right w:val="nil"/>
            </w:tcBorders>
            <w:shd w:val="clear" w:color="auto" w:fill="auto"/>
            <w:noWrap/>
            <w:vAlign w:val="center"/>
            <w:hideMark/>
          </w:tcPr>
          <w:p w14:paraId="0AA8B46C"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0.11</w:t>
            </w:r>
          </w:p>
        </w:tc>
      </w:tr>
      <w:tr w:rsidR="007D01F7" w:rsidRPr="007D01F7" w14:paraId="51D7D2F4" w14:textId="77777777" w:rsidTr="00483858">
        <w:trPr>
          <w:trHeight w:val="315"/>
          <w:jc w:val="center"/>
        </w:trPr>
        <w:tc>
          <w:tcPr>
            <w:tcW w:w="1922" w:type="dxa"/>
            <w:tcBorders>
              <w:top w:val="nil"/>
              <w:left w:val="nil"/>
              <w:bottom w:val="nil"/>
              <w:right w:val="nil"/>
            </w:tcBorders>
            <w:shd w:val="clear" w:color="auto" w:fill="auto"/>
            <w:noWrap/>
            <w:vAlign w:val="center"/>
            <w:hideMark/>
          </w:tcPr>
          <w:p w14:paraId="7865A4F0" w14:textId="77777777" w:rsidR="007D01F7" w:rsidRPr="007D01F7" w:rsidRDefault="007D01F7" w:rsidP="007D01F7">
            <w:pPr>
              <w:spacing w:line="240" w:lineRule="auto"/>
              <w:rPr>
                <w:rFonts w:eastAsia="Times New Roman"/>
                <w:color w:val="000000"/>
              </w:rPr>
            </w:pPr>
            <w:r w:rsidRPr="007D01F7">
              <w:rPr>
                <w:rFonts w:eastAsia="Times New Roman"/>
                <w:color w:val="000000"/>
              </w:rPr>
              <w:t>White Male</w:t>
            </w:r>
          </w:p>
        </w:tc>
        <w:tc>
          <w:tcPr>
            <w:tcW w:w="2038" w:type="dxa"/>
            <w:tcBorders>
              <w:top w:val="nil"/>
              <w:left w:val="nil"/>
              <w:bottom w:val="nil"/>
              <w:right w:val="nil"/>
            </w:tcBorders>
            <w:shd w:val="clear" w:color="auto" w:fill="auto"/>
            <w:noWrap/>
            <w:vAlign w:val="center"/>
            <w:hideMark/>
          </w:tcPr>
          <w:p w14:paraId="6E758000"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0.08</w:t>
            </w:r>
          </w:p>
        </w:tc>
        <w:tc>
          <w:tcPr>
            <w:tcW w:w="1800" w:type="dxa"/>
            <w:tcBorders>
              <w:top w:val="nil"/>
              <w:left w:val="nil"/>
              <w:bottom w:val="nil"/>
              <w:right w:val="nil"/>
            </w:tcBorders>
            <w:shd w:val="clear" w:color="auto" w:fill="auto"/>
            <w:noWrap/>
            <w:vAlign w:val="center"/>
            <w:hideMark/>
          </w:tcPr>
          <w:p w14:paraId="2CBC60BC"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0.13</w:t>
            </w:r>
          </w:p>
        </w:tc>
      </w:tr>
      <w:tr w:rsidR="007D01F7" w:rsidRPr="007D01F7" w14:paraId="4C37E7CF" w14:textId="77777777" w:rsidTr="00483858">
        <w:trPr>
          <w:trHeight w:val="330"/>
          <w:jc w:val="center"/>
        </w:trPr>
        <w:tc>
          <w:tcPr>
            <w:tcW w:w="1922" w:type="dxa"/>
            <w:tcBorders>
              <w:top w:val="nil"/>
              <w:left w:val="nil"/>
              <w:bottom w:val="single" w:sz="8" w:space="0" w:color="auto"/>
              <w:right w:val="nil"/>
            </w:tcBorders>
            <w:shd w:val="clear" w:color="auto" w:fill="auto"/>
            <w:noWrap/>
            <w:vAlign w:val="center"/>
            <w:hideMark/>
          </w:tcPr>
          <w:p w14:paraId="5FC4BF7E" w14:textId="77777777" w:rsidR="007D01F7" w:rsidRPr="007D01F7" w:rsidRDefault="007D01F7" w:rsidP="007D01F7">
            <w:pPr>
              <w:spacing w:line="240" w:lineRule="auto"/>
              <w:rPr>
                <w:rFonts w:eastAsia="Times New Roman"/>
                <w:color w:val="000000"/>
              </w:rPr>
            </w:pPr>
            <w:r w:rsidRPr="007D01F7">
              <w:rPr>
                <w:rFonts w:eastAsia="Times New Roman"/>
                <w:color w:val="000000"/>
              </w:rPr>
              <w:t>Difference</w:t>
            </w:r>
          </w:p>
        </w:tc>
        <w:tc>
          <w:tcPr>
            <w:tcW w:w="2038" w:type="dxa"/>
            <w:tcBorders>
              <w:top w:val="nil"/>
              <w:left w:val="nil"/>
              <w:bottom w:val="single" w:sz="8" w:space="0" w:color="auto"/>
              <w:right w:val="nil"/>
            </w:tcBorders>
            <w:shd w:val="clear" w:color="auto" w:fill="auto"/>
            <w:noWrap/>
            <w:vAlign w:val="center"/>
            <w:hideMark/>
          </w:tcPr>
          <w:p w14:paraId="19F33159"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0.10 [-.02, .23]</w:t>
            </w:r>
          </w:p>
        </w:tc>
        <w:tc>
          <w:tcPr>
            <w:tcW w:w="1800" w:type="dxa"/>
            <w:tcBorders>
              <w:top w:val="nil"/>
              <w:left w:val="nil"/>
              <w:bottom w:val="single" w:sz="8" w:space="0" w:color="auto"/>
              <w:right w:val="nil"/>
            </w:tcBorders>
            <w:shd w:val="clear" w:color="auto" w:fill="auto"/>
            <w:noWrap/>
            <w:vAlign w:val="center"/>
            <w:hideMark/>
          </w:tcPr>
          <w:p w14:paraId="21B8DE61" w14:textId="77777777" w:rsidR="007D01F7" w:rsidRPr="007D01F7" w:rsidRDefault="007D01F7" w:rsidP="007D01F7">
            <w:pPr>
              <w:spacing w:line="240" w:lineRule="auto"/>
              <w:jc w:val="center"/>
              <w:rPr>
                <w:rFonts w:eastAsia="Times New Roman"/>
                <w:color w:val="000000"/>
              </w:rPr>
            </w:pPr>
            <w:r w:rsidRPr="007D01F7">
              <w:rPr>
                <w:rFonts w:eastAsia="Times New Roman"/>
                <w:color w:val="000000"/>
              </w:rPr>
              <w:t>-0.02 [-.12, .08]</w:t>
            </w:r>
          </w:p>
        </w:tc>
      </w:tr>
    </w:tbl>
    <w:p w14:paraId="3DD7C6EA" w14:textId="77777777" w:rsidR="007D01F7" w:rsidRPr="00CF2898" w:rsidRDefault="007D01F7" w:rsidP="007D01F7">
      <w:pPr>
        <w:jc w:val="center"/>
        <w:rPr>
          <w:b/>
        </w:rPr>
      </w:pPr>
    </w:p>
    <w:p w14:paraId="64C51950" w14:textId="4EC939B2" w:rsidR="00A15E3A" w:rsidRDefault="00A15E3A" w:rsidP="00E029C2">
      <w:pPr>
        <w:spacing w:line="240" w:lineRule="auto"/>
        <w:ind w:right="1440"/>
      </w:pPr>
    </w:p>
    <w:p w14:paraId="18B74027" w14:textId="4A5E53BC" w:rsidR="0011726D" w:rsidRDefault="0011726D">
      <w:r>
        <w:br w:type="page"/>
      </w:r>
    </w:p>
    <w:p w14:paraId="1FBF40EB" w14:textId="26F88B4D" w:rsidR="0011726D" w:rsidRPr="00E029C2" w:rsidRDefault="0011726D" w:rsidP="00C278A1">
      <w:pPr>
        <w:spacing w:line="240" w:lineRule="auto"/>
        <w:ind w:right="1440"/>
        <w:jc w:val="center"/>
        <w:rPr>
          <w:b/>
        </w:rPr>
      </w:pPr>
      <w:r w:rsidRPr="00E029C2">
        <w:rPr>
          <w:b/>
        </w:rPr>
        <w:lastRenderedPageBreak/>
        <w:t>Appendix</w:t>
      </w:r>
    </w:p>
    <w:p w14:paraId="2804D09B" w14:textId="4032FDC4" w:rsidR="0011726D" w:rsidRDefault="0011726D" w:rsidP="00E029C2">
      <w:pPr>
        <w:spacing w:line="240" w:lineRule="auto"/>
        <w:ind w:right="1440"/>
      </w:pPr>
    </w:p>
    <w:p w14:paraId="7F3E1BAB" w14:textId="6090F686" w:rsidR="0011726D" w:rsidRDefault="0011726D" w:rsidP="00E029C2">
      <w:pPr>
        <w:spacing w:line="480" w:lineRule="auto"/>
        <w:ind w:firstLine="720"/>
      </w:pPr>
      <w:r>
        <w:t xml:space="preserve">We include three control variables in the models and we describe our reasons for including them more fully here. First, we include a dummy variable indicating whether a district borders Mexico. </w:t>
      </w:r>
      <w:r w:rsidR="006A5661">
        <w:t xml:space="preserve">Starting </w:t>
      </w:r>
      <w:r>
        <w:t xml:space="preserve">in the Clinton administration, immigration cases began to make up an ever-larger portion of the caseload for USAs. This increase was particularly acute in the border districts, where immigration cases can number in the tens of thousands and dominate the case filings. Therefore, border districts have higher case filings than other districts by virtue of geography. Second, we include a dummy variable that captures changes in the partisanship of the presidency. During our period of study, this includes the years 1993, 2001, and 2009. </w:t>
      </w:r>
      <w:r w:rsidR="00052A11">
        <w:t xml:space="preserve">Prior work indicates that USAs who leave office in these transitional years predominantly move into private practice given the ideological disjunction between who appointed them to the position of USA and who currently occupies the White House (Miller and Curry 2019). Finally, we include a variable measuring the year a USA leaves her position to help account for any over-time trends in the likelihood of presidents to nominate USAs to the positions of interest. </w:t>
      </w:r>
    </w:p>
    <w:p w14:paraId="2CFC1FA7" w14:textId="294D206E" w:rsidR="00052A11" w:rsidRDefault="00052A11" w:rsidP="00E029C2">
      <w:pPr>
        <w:spacing w:line="480" w:lineRule="auto"/>
        <w:ind w:firstLine="720"/>
      </w:pPr>
      <w:r>
        <w:t xml:space="preserve">Table A1 below provides regression results for the model used to generate the substantive results displayed in Table </w:t>
      </w:r>
      <w:r w:rsidR="005902CC">
        <w:t>7</w:t>
      </w:r>
      <w:r>
        <w:t>. Table A2 displays regression results for interactive models on movement to the federal bureaucracy, while Table A3 shows results for interactive models on movement to the federal bench. Given the dichotomous nature of the dependent variables, we estimate logit models; in each, standard errors are clustered by judicial district.</w:t>
      </w:r>
    </w:p>
    <w:p w14:paraId="5BB41381" w14:textId="05C16874" w:rsidR="00052A11" w:rsidRDefault="00052A11" w:rsidP="00E029C2">
      <w:pPr>
        <w:spacing w:line="480" w:lineRule="auto"/>
        <w:jc w:val="center"/>
      </w:pPr>
      <w:r>
        <w:t>[Table A1 here]</w:t>
      </w:r>
    </w:p>
    <w:p w14:paraId="67D0D5F9" w14:textId="253FB1FB" w:rsidR="00052A11" w:rsidRDefault="00052A11" w:rsidP="00E029C2">
      <w:pPr>
        <w:spacing w:line="480" w:lineRule="auto"/>
        <w:jc w:val="center"/>
      </w:pPr>
      <w:r>
        <w:t>[Table A2 here]</w:t>
      </w:r>
    </w:p>
    <w:p w14:paraId="2F43A34D" w14:textId="3246D884" w:rsidR="00052A11" w:rsidRDefault="00052A11" w:rsidP="00E029C2">
      <w:pPr>
        <w:spacing w:line="480" w:lineRule="auto"/>
        <w:jc w:val="center"/>
      </w:pPr>
      <w:r>
        <w:t>[Table A3 here]</w:t>
      </w:r>
    </w:p>
    <w:p w14:paraId="792813B2" w14:textId="77777777" w:rsidR="00052A11" w:rsidRDefault="00052A11">
      <w:r>
        <w:br w:type="page"/>
      </w:r>
    </w:p>
    <w:p w14:paraId="33C5194B" w14:textId="26EFF5E9" w:rsidR="00C278A1" w:rsidRDefault="00C278A1" w:rsidP="00C278A1">
      <w:pPr>
        <w:spacing w:line="240" w:lineRule="auto"/>
        <w:jc w:val="center"/>
        <w:rPr>
          <w:b/>
        </w:rPr>
      </w:pPr>
      <w:r>
        <w:rPr>
          <w:b/>
        </w:rPr>
        <w:lastRenderedPageBreak/>
        <w:t>Table A1: Non-interactive Model Results</w:t>
      </w:r>
    </w:p>
    <w:tbl>
      <w:tblPr>
        <w:tblW w:w="8320" w:type="dxa"/>
        <w:jc w:val="center"/>
        <w:tblLook w:val="04A0" w:firstRow="1" w:lastRow="0" w:firstColumn="1" w:lastColumn="0" w:noHBand="0" w:noVBand="1"/>
      </w:tblPr>
      <w:tblGrid>
        <w:gridCol w:w="2240"/>
        <w:gridCol w:w="60"/>
        <w:gridCol w:w="1251"/>
        <w:gridCol w:w="1729"/>
        <w:gridCol w:w="80"/>
        <w:gridCol w:w="1174"/>
        <w:gridCol w:w="1786"/>
      </w:tblGrid>
      <w:tr w:rsidR="00FA0D3B" w:rsidRPr="00FA0D3B" w14:paraId="11DC8FCF" w14:textId="77777777" w:rsidTr="00FA0D3B">
        <w:trPr>
          <w:trHeight w:val="315"/>
          <w:jc w:val="center"/>
        </w:trPr>
        <w:tc>
          <w:tcPr>
            <w:tcW w:w="2240" w:type="dxa"/>
            <w:tcBorders>
              <w:top w:val="single" w:sz="4" w:space="0" w:color="auto"/>
              <w:left w:val="nil"/>
              <w:bottom w:val="nil"/>
              <w:right w:val="nil"/>
            </w:tcBorders>
            <w:shd w:val="clear" w:color="auto" w:fill="auto"/>
            <w:noWrap/>
            <w:vAlign w:val="bottom"/>
            <w:hideMark/>
          </w:tcPr>
          <w:p w14:paraId="1CA791A4" w14:textId="744E4AA5" w:rsidR="00FA0D3B" w:rsidRPr="00FA0D3B" w:rsidRDefault="00C278A1" w:rsidP="00C278A1">
            <w:pPr>
              <w:spacing w:line="240" w:lineRule="auto"/>
              <w:jc w:val="center"/>
              <w:rPr>
                <w:rFonts w:eastAsia="Times New Roman"/>
                <w:color w:val="000000"/>
              </w:rPr>
            </w:pPr>
            <w:r>
              <w:rPr>
                <w:b/>
              </w:rPr>
              <w:t xml:space="preserve"> </w:t>
            </w:r>
            <w:r w:rsidR="00FA0D3B" w:rsidRPr="00FA0D3B">
              <w:rPr>
                <w:rFonts w:eastAsia="Times New Roman"/>
                <w:color w:val="000000"/>
              </w:rPr>
              <w:t> </w:t>
            </w:r>
          </w:p>
        </w:tc>
        <w:tc>
          <w:tcPr>
            <w:tcW w:w="3040" w:type="dxa"/>
            <w:gridSpan w:val="3"/>
            <w:tcBorders>
              <w:top w:val="single" w:sz="4" w:space="0" w:color="auto"/>
              <w:left w:val="nil"/>
              <w:bottom w:val="nil"/>
              <w:right w:val="nil"/>
            </w:tcBorders>
            <w:shd w:val="clear" w:color="auto" w:fill="auto"/>
            <w:noWrap/>
            <w:vAlign w:val="bottom"/>
            <w:hideMark/>
          </w:tcPr>
          <w:p w14:paraId="638AFAF2"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Model 1: Bureaucracy</w:t>
            </w:r>
          </w:p>
        </w:tc>
        <w:tc>
          <w:tcPr>
            <w:tcW w:w="3040" w:type="dxa"/>
            <w:gridSpan w:val="3"/>
            <w:tcBorders>
              <w:top w:val="single" w:sz="4" w:space="0" w:color="auto"/>
              <w:left w:val="nil"/>
              <w:bottom w:val="nil"/>
              <w:right w:val="nil"/>
            </w:tcBorders>
            <w:shd w:val="clear" w:color="auto" w:fill="auto"/>
            <w:noWrap/>
            <w:vAlign w:val="bottom"/>
            <w:hideMark/>
          </w:tcPr>
          <w:p w14:paraId="65CA02DC"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Model 2: Judiciary</w:t>
            </w:r>
          </w:p>
        </w:tc>
      </w:tr>
      <w:tr w:rsidR="00FA0D3B" w:rsidRPr="00FA0D3B" w14:paraId="129AA6A2" w14:textId="77777777" w:rsidTr="00FA0D3B">
        <w:tblPrEx>
          <w:jc w:val="left"/>
        </w:tblPrEx>
        <w:trPr>
          <w:trHeight w:val="315"/>
        </w:trPr>
        <w:tc>
          <w:tcPr>
            <w:tcW w:w="2300" w:type="dxa"/>
            <w:gridSpan w:val="2"/>
            <w:tcBorders>
              <w:top w:val="nil"/>
              <w:left w:val="nil"/>
              <w:bottom w:val="single" w:sz="4" w:space="0" w:color="auto"/>
              <w:right w:val="nil"/>
            </w:tcBorders>
            <w:shd w:val="clear" w:color="auto" w:fill="auto"/>
            <w:noWrap/>
            <w:vAlign w:val="bottom"/>
            <w:hideMark/>
          </w:tcPr>
          <w:p w14:paraId="5585C287" w14:textId="77777777" w:rsidR="00FA0D3B" w:rsidRPr="00FA0D3B" w:rsidRDefault="00FA0D3B" w:rsidP="00FA0D3B">
            <w:pPr>
              <w:spacing w:line="240" w:lineRule="auto"/>
              <w:rPr>
                <w:rFonts w:eastAsia="Times New Roman"/>
                <w:color w:val="000000"/>
              </w:rPr>
            </w:pPr>
            <w:r w:rsidRPr="00FA0D3B">
              <w:rPr>
                <w:rFonts w:eastAsia="Times New Roman"/>
                <w:color w:val="000000"/>
              </w:rPr>
              <w:t> </w:t>
            </w:r>
          </w:p>
        </w:tc>
        <w:tc>
          <w:tcPr>
            <w:tcW w:w="1251" w:type="dxa"/>
            <w:tcBorders>
              <w:top w:val="nil"/>
              <w:left w:val="nil"/>
              <w:bottom w:val="single" w:sz="4" w:space="0" w:color="auto"/>
              <w:right w:val="nil"/>
            </w:tcBorders>
            <w:shd w:val="clear" w:color="auto" w:fill="auto"/>
            <w:noWrap/>
            <w:vAlign w:val="bottom"/>
            <w:hideMark/>
          </w:tcPr>
          <w:p w14:paraId="07849614"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 xml:space="preserve">Coeff. </w:t>
            </w:r>
          </w:p>
        </w:tc>
        <w:tc>
          <w:tcPr>
            <w:tcW w:w="1809" w:type="dxa"/>
            <w:gridSpan w:val="2"/>
            <w:tcBorders>
              <w:top w:val="nil"/>
              <w:left w:val="nil"/>
              <w:bottom w:val="single" w:sz="4" w:space="0" w:color="auto"/>
              <w:right w:val="nil"/>
            </w:tcBorders>
            <w:shd w:val="clear" w:color="auto" w:fill="auto"/>
            <w:noWrap/>
            <w:vAlign w:val="bottom"/>
            <w:hideMark/>
          </w:tcPr>
          <w:p w14:paraId="047E395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Robust S.E.</w:t>
            </w:r>
          </w:p>
        </w:tc>
        <w:tc>
          <w:tcPr>
            <w:tcW w:w="1174" w:type="dxa"/>
            <w:tcBorders>
              <w:top w:val="nil"/>
              <w:left w:val="nil"/>
              <w:bottom w:val="single" w:sz="4" w:space="0" w:color="auto"/>
              <w:right w:val="nil"/>
            </w:tcBorders>
            <w:shd w:val="clear" w:color="auto" w:fill="auto"/>
            <w:noWrap/>
            <w:vAlign w:val="bottom"/>
            <w:hideMark/>
          </w:tcPr>
          <w:p w14:paraId="796B4BD2"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 xml:space="preserve">Coeff. </w:t>
            </w:r>
          </w:p>
        </w:tc>
        <w:tc>
          <w:tcPr>
            <w:tcW w:w="1786" w:type="dxa"/>
            <w:tcBorders>
              <w:top w:val="nil"/>
              <w:left w:val="nil"/>
              <w:bottom w:val="single" w:sz="4" w:space="0" w:color="auto"/>
              <w:right w:val="nil"/>
            </w:tcBorders>
            <w:shd w:val="clear" w:color="auto" w:fill="auto"/>
            <w:noWrap/>
            <w:vAlign w:val="bottom"/>
            <w:hideMark/>
          </w:tcPr>
          <w:p w14:paraId="2448A97B"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Robust S.E.</w:t>
            </w:r>
          </w:p>
        </w:tc>
      </w:tr>
      <w:tr w:rsidR="00FA0D3B" w:rsidRPr="00FA0D3B" w14:paraId="5D13CC1F"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51F74B40" w14:textId="77777777" w:rsidR="00FA0D3B" w:rsidRPr="00FA0D3B" w:rsidRDefault="00FA0D3B" w:rsidP="00FA0D3B">
            <w:pPr>
              <w:spacing w:line="240" w:lineRule="auto"/>
              <w:rPr>
                <w:rFonts w:eastAsia="Times New Roman"/>
                <w:color w:val="000000"/>
              </w:rPr>
            </w:pPr>
            <w:r w:rsidRPr="00FA0D3B">
              <w:rPr>
                <w:rFonts w:eastAsia="Times New Roman"/>
                <w:color w:val="000000"/>
              </w:rPr>
              <w:t>White Male</w:t>
            </w:r>
          </w:p>
        </w:tc>
        <w:tc>
          <w:tcPr>
            <w:tcW w:w="1251" w:type="dxa"/>
            <w:tcBorders>
              <w:top w:val="nil"/>
              <w:left w:val="nil"/>
              <w:bottom w:val="nil"/>
              <w:right w:val="nil"/>
            </w:tcBorders>
            <w:shd w:val="clear" w:color="auto" w:fill="auto"/>
            <w:noWrap/>
            <w:vAlign w:val="bottom"/>
            <w:hideMark/>
          </w:tcPr>
          <w:p w14:paraId="170EAB26" w14:textId="3832BD40" w:rsidR="00FA0D3B" w:rsidRPr="00FA0D3B" w:rsidRDefault="00FA0D3B" w:rsidP="00FA0D3B">
            <w:pPr>
              <w:spacing w:line="240" w:lineRule="auto"/>
              <w:jc w:val="center"/>
              <w:rPr>
                <w:rFonts w:eastAsia="Times New Roman"/>
                <w:color w:val="000000"/>
              </w:rPr>
            </w:pPr>
            <w:r w:rsidRPr="00FA0D3B">
              <w:rPr>
                <w:rFonts w:eastAsia="Times New Roman"/>
                <w:color w:val="000000"/>
              </w:rPr>
              <w:t>-0.9</w:t>
            </w:r>
            <w:r w:rsidR="0080149E">
              <w:rPr>
                <w:rFonts w:eastAsia="Times New Roman"/>
                <w:color w:val="000000"/>
              </w:rPr>
              <w:t>8</w:t>
            </w:r>
            <w:r w:rsidRPr="00FA0D3B">
              <w:rPr>
                <w:rFonts w:eastAsia="Times New Roman"/>
                <w:color w:val="000000"/>
              </w:rPr>
              <w:t>**</w:t>
            </w:r>
          </w:p>
        </w:tc>
        <w:tc>
          <w:tcPr>
            <w:tcW w:w="1809" w:type="dxa"/>
            <w:gridSpan w:val="2"/>
            <w:tcBorders>
              <w:top w:val="nil"/>
              <w:left w:val="nil"/>
              <w:bottom w:val="nil"/>
              <w:right w:val="nil"/>
            </w:tcBorders>
            <w:shd w:val="clear" w:color="auto" w:fill="auto"/>
            <w:noWrap/>
            <w:vAlign w:val="bottom"/>
            <w:hideMark/>
          </w:tcPr>
          <w:p w14:paraId="28C87C91" w14:textId="0D930B68" w:rsidR="00FA0D3B" w:rsidRPr="00FA0D3B" w:rsidRDefault="00FA0D3B" w:rsidP="00FA0D3B">
            <w:pPr>
              <w:spacing w:line="240" w:lineRule="auto"/>
              <w:jc w:val="center"/>
              <w:rPr>
                <w:rFonts w:eastAsia="Times New Roman"/>
                <w:color w:val="000000"/>
              </w:rPr>
            </w:pPr>
            <w:r w:rsidRPr="00FA0D3B">
              <w:rPr>
                <w:rFonts w:eastAsia="Times New Roman"/>
                <w:color w:val="000000"/>
              </w:rPr>
              <w:t>0.4</w:t>
            </w:r>
            <w:r w:rsidR="0080149E">
              <w:rPr>
                <w:rFonts w:eastAsia="Times New Roman"/>
                <w:color w:val="000000"/>
              </w:rPr>
              <w:t>4</w:t>
            </w:r>
          </w:p>
        </w:tc>
        <w:tc>
          <w:tcPr>
            <w:tcW w:w="1174" w:type="dxa"/>
            <w:tcBorders>
              <w:top w:val="nil"/>
              <w:left w:val="nil"/>
              <w:bottom w:val="nil"/>
              <w:right w:val="nil"/>
            </w:tcBorders>
            <w:shd w:val="clear" w:color="auto" w:fill="auto"/>
            <w:noWrap/>
            <w:vAlign w:val="bottom"/>
            <w:hideMark/>
          </w:tcPr>
          <w:p w14:paraId="2E5F7D26"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-1.22**</w:t>
            </w:r>
          </w:p>
        </w:tc>
        <w:tc>
          <w:tcPr>
            <w:tcW w:w="1786" w:type="dxa"/>
            <w:tcBorders>
              <w:top w:val="nil"/>
              <w:left w:val="nil"/>
              <w:bottom w:val="nil"/>
              <w:right w:val="nil"/>
            </w:tcBorders>
            <w:shd w:val="clear" w:color="auto" w:fill="auto"/>
            <w:noWrap/>
            <w:vAlign w:val="bottom"/>
            <w:hideMark/>
          </w:tcPr>
          <w:p w14:paraId="2050F6AB"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0.32</w:t>
            </w:r>
          </w:p>
        </w:tc>
      </w:tr>
      <w:tr w:rsidR="00FA0D3B" w:rsidRPr="00FA0D3B" w14:paraId="02C73AA6"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5B8A9E79" w14:textId="77777777" w:rsidR="00FA0D3B" w:rsidRPr="00FA0D3B" w:rsidRDefault="00FA0D3B" w:rsidP="00FA0D3B">
            <w:pPr>
              <w:spacing w:line="240" w:lineRule="auto"/>
              <w:rPr>
                <w:rFonts w:eastAsia="Times New Roman"/>
                <w:color w:val="000000"/>
              </w:rPr>
            </w:pPr>
            <w:r w:rsidRPr="00FA0D3B">
              <w:rPr>
                <w:rFonts w:eastAsia="Times New Roman"/>
                <w:color w:val="000000"/>
              </w:rPr>
              <w:t>Ideological Dist.</w:t>
            </w:r>
          </w:p>
        </w:tc>
        <w:tc>
          <w:tcPr>
            <w:tcW w:w="1251" w:type="dxa"/>
            <w:tcBorders>
              <w:top w:val="nil"/>
              <w:left w:val="nil"/>
              <w:bottom w:val="nil"/>
              <w:right w:val="nil"/>
            </w:tcBorders>
            <w:shd w:val="clear" w:color="auto" w:fill="auto"/>
            <w:noWrap/>
            <w:vAlign w:val="bottom"/>
            <w:hideMark/>
          </w:tcPr>
          <w:p w14:paraId="6FEE604B" w14:textId="5D294F60"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1</w:t>
            </w:r>
            <w:r w:rsidRPr="00FA0D3B">
              <w:rPr>
                <w:rFonts w:eastAsia="Times New Roman"/>
                <w:color w:val="000000"/>
              </w:rPr>
              <w:t>2</w:t>
            </w:r>
          </w:p>
        </w:tc>
        <w:tc>
          <w:tcPr>
            <w:tcW w:w="1809" w:type="dxa"/>
            <w:gridSpan w:val="2"/>
            <w:tcBorders>
              <w:top w:val="nil"/>
              <w:left w:val="nil"/>
              <w:bottom w:val="nil"/>
              <w:right w:val="nil"/>
            </w:tcBorders>
            <w:shd w:val="clear" w:color="auto" w:fill="auto"/>
            <w:noWrap/>
            <w:vAlign w:val="bottom"/>
            <w:hideMark/>
          </w:tcPr>
          <w:p w14:paraId="26F1235F" w14:textId="14D6F15E" w:rsidR="00FA0D3B" w:rsidRPr="00FA0D3B" w:rsidRDefault="00FA0D3B" w:rsidP="00FA0D3B">
            <w:pPr>
              <w:spacing w:line="240" w:lineRule="auto"/>
              <w:jc w:val="center"/>
              <w:rPr>
                <w:rFonts w:eastAsia="Times New Roman"/>
                <w:color w:val="000000"/>
              </w:rPr>
            </w:pPr>
            <w:r w:rsidRPr="00FA0D3B">
              <w:rPr>
                <w:rFonts w:eastAsia="Times New Roman"/>
                <w:color w:val="000000"/>
              </w:rPr>
              <w:t>0.8</w:t>
            </w:r>
            <w:r w:rsidR="0080149E">
              <w:rPr>
                <w:rFonts w:eastAsia="Times New Roman"/>
                <w:color w:val="000000"/>
              </w:rPr>
              <w:t>9</w:t>
            </w:r>
          </w:p>
        </w:tc>
        <w:tc>
          <w:tcPr>
            <w:tcW w:w="1174" w:type="dxa"/>
            <w:tcBorders>
              <w:top w:val="nil"/>
              <w:left w:val="nil"/>
              <w:bottom w:val="nil"/>
              <w:right w:val="nil"/>
            </w:tcBorders>
            <w:shd w:val="clear" w:color="auto" w:fill="auto"/>
            <w:noWrap/>
            <w:vAlign w:val="bottom"/>
            <w:hideMark/>
          </w:tcPr>
          <w:p w14:paraId="0BE6AC63"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-2.64**</w:t>
            </w:r>
          </w:p>
        </w:tc>
        <w:tc>
          <w:tcPr>
            <w:tcW w:w="1786" w:type="dxa"/>
            <w:tcBorders>
              <w:top w:val="nil"/>
              <w:left w:val="nil"/>
              <w:bottom w:val="nil"/>
              <w:right w:val="nil"/>
            </w:tcBorders>
            <w:shd w:val="clear" w:color="auto" w:fill="auto"/>
            <w:noWrap/>
            <w:vAlign w:val="bottom"/>
            <w:hideMark/>
          </w:tcPr>
          <w:p w14:paraId="2B700046"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0.61</w:t>
            </w:r>
          </w:p>
        </w:tc>
      </w:tr>
      <w:tr w:rsidR="00FA0D3B" w:rsidRPr="00FA0D3B" w14:paraId="0699113C"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3021B524" w14:textId="77777777" w:rsidR="00FA0D3B" w:rsidRPr="00FA0D3B" w:rsidRDefault="00FA0D3B" w:rsidP="00FA0D3B">
            <w:pPr>
              <w:spacing w:line="240" w:lineRule="auto"/>
              <w:rPr>
                <w:rFonts w:eastAsia="Times New Roman"/>
                <w:color w:val="000000"/>
              </w:rPr>
            </w:pPr>
            <w:r w:rsidRPr="00FA0D3B">
              <w:rPr>
                <w:rFonts w:eastAsia="Times New Roman"/>
                <w:color w:val="000000"/>
              </w:rPr>
              <w:t>Avg. Filings</w:t>
            </w:r>
          </w:p>
        </w:tc>
        <w:tc>
          <w:tcPr>
            <w:tcW w:w="1251" w:type="dxa"/>
            <w:tcBorders>
              <w:top w:val="nil"/>
              <w:left w:val="nil"/>
              <w:bottom w:val="nil"/>
              <w:right w:val="nil"/>
            </w:tcBorders>
            <w:shd w:val="clear" w:color="auto" w:fill="auto"/>
            <w:noWrap/>
            <w:vAlign w:val="bottom"/>
            <w:hideMark/>
          </w:tcPr>
          <w:p w14:paraId="182F00D2"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-0.00</w:t>
            </w:r>
          </w:p>
        </w:tc>
        <w:tc>
          <w:tcPr>
            <w:tcW w:w="1809" w:type="dxa"/>
            <w:gridSpan w:val="2"/>
            <w:tcBorders>
              <w:top w:val="nil"/>
              <w:left w:val="nil"/>
              <w:bottom w:val="nil"/>
              <w:right w:val="nil"/>
            </w:tcBorders>
            <w:shd w:val="clear" w:color="auto" w:fill="auto"/>
            <w:noWrap/>
            <w:vAlign w:val="bottom"/>
            <w:hideMark/>
          </w:tcPr>
          <w:p w14:paraId="5E3F417E"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0.04</w:t>
            </w:r>
          </w:p>
        </w:tc>
        <w:tc>
          <w:tcPr>
            <w:tcW w:w="1174" w:type="dxa"/>
            <w:tcBorders>
              <w:top w:val="nil"/>
              <w:left w:val="nil"/>
              <w:bottom w:val="nil"/>
              <w:right w:val="nil"/>
            </w:tcBorders>
            <w:shd w:val="clear" w:color="auto" w:fill="auto"/>
            <w:noWrap/>
            <w:vAlign w:val="bottom"/>
            <w:hideMark/>
          </w:tcPr>
          <w:p w14:paraId="3BC06A5F"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0.084*</w:t>
            </w:r>
          </w:p>
        </w:tc>
        <w:tc>
          <w:tcPr>
            <w:tcW w:w="1786" w:type="dxa"/>
            <w:tcBorders>
              <w:top w:val="nil"/>
              <w:left w:val="nil"/>
              <w:bottom w:val="nil"/>
              <w:right w:val="nil"/>
            </w:tcBorders>
            <w:shd w:val="clear" w:color="auto" w:fill="auto"/>
            <w:noWrap/>
            <w:vAlign w:val="bottom"/>
            <w:hideMark/>
          </w:tcPr>
          <w:p w14:paraId="5FBD920E"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0.045</w:t>
            </w:r>
          </w:p>
        </w:tc>
      </w:tr>
      <w:tr w:rsidR="00FA0D3B" w:rsidRPr="00FA0D3B" w14:paraId="2C5CB540"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3936DEB9" w14:textId="77777777" w:rsidR="00FA0D3B" w:rsidRPr="00FA0D3B" w:rsidRDefault="00FA0D3B" w:rsidP="00FA0D3B">
            <w:pPr>
              <w:spacing w:line="240" w:lineRule="auto"/>
              <w:rPr>
                <w:rFonts w:eastAsia="Times New Roman"/>
                <w:color w:val="000000"/>
              </w:rPr>
            </w:pPr>
            <w:r w:rsidRPr="00FA0D3B">
              <w:rPr>
                <w:rFonts w:eastAsia="Times New Roman"/>
                <w:color w:val="000000"/>
              </w:rPr>
              <w:t>Avg. Workhours</w:t>
            </w:r>
          </w:p>
        </w:tc>
        <w:tc>
          <w:tcPr>
            <w:tcW w:w="1251" w:type="dxa"/>
            <w:tcBorders>
              <w:top w:val="nil"/>
              <w:left w:val="nil"/>
              <w:bottom w:val="nil"/>
              <w:right w:val="nil"/>
            </w:tcBorders>
            <w:shd w:val="clear" w:color="auto" w:fill="auto"/>
            <w:noWrap/>
            <w:vAlign w:val="bottom"/>
            <w:hideMark/>
          </w:tcPr>
          <w:p w14:paraId="090B3454" w14:textId="14F64E4F" w:rsidR="00FA0D3B" w:rsidRPr="00FA0D3B" w:rsidRDefault="00FA0D3B" w:rsidP="00FA0D3B">
            <w:pPr>
              <w:spacing w:line="240" w:lineRule="auto"/>
              <w:jc w:val="center"/>
              <w:rPr>
                <w:rFonts w:eastAsia="Times New Roman"/>
                <w:color w:val="000000"/>
              </w:rPr>
            </w:pPr>
            <w:r w:rsidRPr="00FA0D3B">
              <w:rPr>
                <w:rFonts w:eastAsia="Times New Roman"/>
                <w:color w:val="000000"/>
              </w:rPr>
              <w:t>0.01</w:t>
            </w:r>
            <w:r w:rsidR="0080149E">
              <w:rPr>
                <w:rFonts w:eastAsia="Times New Roman"/>
                <w:color w:val="000000"/>
              </w:rPr>
              <w:t>3</w:t>
            </w:r>
            <w:r w:rsidRPr="00FA0D3B">
              <w:rPr>
                <w:rFonts w:eastAsia="Times New Roman"/>
                <w:color w:val="000000"/>
              </w:rPr>
              <w:t>**</w:t>
            </w:r>
          </w:p>
        </w:tc>
        <w:tc>
          <w:tcPr>
            <w:tcW w:w="1809" w:type="dxa"/>
            <w:gridSpan w:val="2"/>
            <w:tcBorders>
              <w:top w:val="nil"/>
              <w:left w:val="nil"/>
              <w:bottom w:val="nil"/>
              <w:right w:val="nil"/>
            </w:tcBorders>
            <w:shd w:val="clear" w:color="auto" w:fill="auto"/>
            <w:noWrap/>
            <w:vAlign w:val="bottom"/>
            <w:hideMark/>
          </w:tcPr>
          <w:p w14:paraId="0DE33B2F" w14:textId="4826F827" w:rsidR="00FA0D3B" w:rsidRPr="00FA0D3B" w:rsidRDefault="00FA0D3B" w:rsidP="00FA0D3B">
            <w:pPr>
              <w:spacing w:line="240" w:lineRule="auto"/>
              <w:jc w:val="center"/>
              <w:rPr>
                <w:rFonts w:eastAsia="Times New Roman"/>
                <w:color w:val="000000"/>
              </w:rPr>
            </w:pPr>
            <w:r w:rsidRPr="00FA0D3B">
              <w:rPr>
                <w:rFonts w:eastAsia="Times New Roman"/>
                <w:color w:val="000000"/>
              </w:rPr>
              <w:t>0.00</w:t>
            </w:r>
            <w:r w:rsidR="0080149E">
              <w:rPr>
                <w:rFonts w:eastAsia="Times New Roman"/>
                <w:color w:val="000000"/>
              </w:rPr>
              <w:t>4</w:t>
            </w:r>
          </w:p>
        </w:tc>
        <w:tc>
          <w:tcPr>
            <w:tcW w:w="1174" w:type="dxa"/>
            <w:tcBorders>
              <w:top w:val="nil"/>
              <w:left w:val="nil"/>
              <w:bottom w:val="nil"/>
              <w:right w:val="nil"/>
            </w:tcBorders>
            <w:shd w:val="clear" w:color="auto" w:fill="auto"/>
            <w:noWrap/>
            <w:vAlign w:val="bottom"/>
            <w:hideMark/>
          </w:tcPr>
          <w:p w14:paraId="6162242F"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-0.016</w:t>
            </w:r>
          </w:p>
        </w:tc>
        <w:tc>
          <w:tcPr>
            <w:tcW w:w="1786" w:type="dxa"/>
            <w:tcBorders>
              <w:top w:val="nil"/>
              <w:left w:val="nil"/>
              <w:bottom w:val="nil"/>
              <w:right w:val="nil"/>
            </w:tcBorders>
            <w:shd w:val="clear" w:color="auto" w:fill="auto"/>
            <w:noWrap/>
            <w:vAlign w:val="bottom"/>
            <w:hideMark/>
          </w:tcPr>
          <w:p w14:paraId="0D12FC10"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0.015</w:t>
            </w:r>
          </w:p>
        </w:tc>
      </w:tr>
      <w:tr w:rsidR="00FA0D3B" w:rsidRPr="00FA0D3B" w14:paraId="0D79CDC8"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7BA21E01" w14:textId="77777777" w:rsidR="00FA0D3B" w:rsidRPr="00FA0D3B" w:rsidRDefault="00FA0D3B" w:rsidP="00FA0D3B">
            <w:pPr>
              <w:spacing w:line="240" w:lineRule="auto"/>
              <w:rPr>
                <w:rFonts w:eastAsia="Times New Roman"/>
                <w:color w:val="000000"/>
              </w:rPr>
            </w:pPr>
            <w:r w:rsidRPr="00FA0D3B">
              <w:rPr>
                <w:rFonts w:eastAsia="Times New Roman"/>
                <w:color w:val="000000"/>
              </w:rPr>
              <w:t>Top 15 Law School</w:t>
            </w:r>
          </w:p>
        </w:tc>
        <w:tc>
          <w:tcPr>
            <w:tcW w:w="1251" w:type="dxa"/>
            <w:tcBorders>
              <w:top w:val="nil"/>
              <w:left w:val="nil"/>
              <w:bottom w:val="nil"/>
              <w:right w:val="nil"/>
            </w:tcBorders>
            <w:shd w:val="clear" w:color="auto" w:fill="auto"/>
            <w:noWrap/>
            <w:vAlign w:val="bottom"/>
            <w:hideMark/>
          </w:tcPr>
          <w:p w14:paraId="156610B1" w14:textId="2A732638"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67</w:t>
            </w:r>
          </w:p>
        </w:tc>
        <w:tc>
          <w:tcPr>
            <w:tcW w:w="1809" w:type="dxa"/>
            <w:gridSpan w:val="2"/>
            <w:tcBorders>
              <w:top w:val="nil"/>
              <w:left w:val="nil"/>
              <w:bottom w:val="nil"/>
              <w:right w:val="nil"/>
            </w:tcBorders>
            <w:shd w:val="clear" w:color="auto" w:fill="auto"/>
            <w:noWrap/>
            <w:vAlign w:val="bottom"/>
            <w:hideMark/>
          </w:tcPr>
          <w:p w14:paraId="079B0163" w14:textId="1E8E055E" w:rsidR="00FA0D3B" w:rsidRPr="00FA0D3B" w:rsidRDefault="00FA0D3B" w:rsidP="00FA0D3B">
            <w:pPr>
              <w:spacing w:line="240" w:lineRule="auto"/>
              <w:jc w:val="center"/>
              <w:rPr>
                <w:rFonts w:eastAsia="Times New Roman"/>
                <w:color w:val="000000"/>
              </w:rPr>
            </w:pPr>
            <w:r w:rsidRPr="00FA0D3B">
              <w:rPr>
                <w:rFonts w:eastAsia="Times New Roman"/>
                <w:color w:val="000000"/>
              </w:rPr>
              <w:t>0.4</w:t>
            </w:r>
            <w:r w:rsidR="0080149E">
              <w:rPr>
                <w:rFonts w:eastAsia="Times New Roman"/>
                <w:color w:val="000000"/>
              </w:rPr>
              <w:t>9</w:t>
            </w:r>
          </w:p>
        </w:tc>
        <w:tc>
          <w:tcPr>
            <w:tcW w:w="1174" w:type="dxa"/>
            <w:tcBorders>
              <w:top w:val="nil"/>
              <w:left w:val="nil"/>
              <w:bottom w:val="nil"/>
              <w:right w:val="nil"/>
            </w:tcBorders>
            <w:shd w:val="clear" w:color="auto" w:fill="auto"/>
            <w:noWrap/>
            <w:vAlign w:val="bottom"/>
            <w:hideMark/>
          </w:tcPr>
          <w:p w14:paraId="6090F773"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-0.53</w:t>
            </w:r>
          </w:p>
        </w:tc>
        <w:tc>
          <w:tcPr>
            <w:tcW w:w="1786" w:type="dxa"/>
            <w:tcBorders>
              <w:top w:val="nil"/>
              <w:left w:val="nil"/>
              <w:bottom w:val="nil"/>
              <w:right w:val="nil"/>
            </w:tcBorders>
            <w:shd w:val="clear" w:color="auto" w:fill="auto"/>
            <w:noWrap/>
            <w:vAlign w:val="bottom"/>
            <w:hideMark/>
          </w:tcPr>
          <w:p w14:paraId="3471D15E"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0.37</w:t>
            </w:r>
          </w:p>
        </w:tc>
      </w:tr>
      <w:tr w:rsidR="00FA0D3B" w:rsidRPr="00FA0D3B" w14:paraId="5243CD99"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14D821D7" w14:textId="77777777" w:rsidR="00FA0D3B" w:rsidRPr="00FA0D3B" w:rsidRDefault="00FA0D3B" w:rsidP="00FA0D3B">
            <w:pPr>
              <w:spacing w:line="240" w:lineRule="auto"/>
              <w:rPr>
                <w:rFonts w:eastAsia="Times New Roman"/>
                <w:color w:val="000000"/>
              </w:rPr>
            </w:pPr>
            <w:r w:rsidRPr="00FA0D3B">
              <w:rPr>
                <w:rFonts w:eastAsia="Times New Roman"/>
                <w:color w:val="000000"/>
              </w:rPr>
              <w:t>Dem. Pres. Appt.</w:t>
            </w:r>
          </w:p>
        </w:tc>
        <w:tc>
          <w:tcPr>
            <w:tcW w:w="1251" w:type="dxa"/>
            <w:tcBorders>
              <w:top w:val="nil"/>
              <w:left w:val="nil"/>
              <w:bottom w:val="nil"/>
              <w:right w:val="nil"/>
            </w:tcBorders>
            <w:shd w:val="clear" w:color="auto" w:fill="auto"/>
            <w:noWrap/>
            <w:vAlign w:val="bottom"/>
            <w:hideMark/>
          </w:tcPr>
          <w:p w14:paraId="4296E0B7" w14:textId="01642CBB"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50</w:t>
            </w:r>
          </w:p>
        </w:tc>
        <w:tc>
          <w:tcPr>
            <w:tcW w:w="1809" w:type="dxa"/>
            <w:gridSpan w:val="2"/>
            <w:tcBorders>
              <w:top w:val="nil"/>
              <w:left w:val="nil"/>
              <w:bottom w:val="nil"/>
              <w:right w:val="nil"/>
            </w:tcBorders>
            <w:shd w:val="clear" w:color="auto" w:fill="auto"/>
            <w:noWrap/>
            <w:vAlign w:val="bottom"/>
            <w:hideMark/>
          </w:tcPr>
          <w:p w14:paraId="31379B62"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0.38</w:t>
            </w:r>
          </w:p>
        </w:tc>
        <w:tc>
          <w:tcPr>
            <w:tcW w:w="1174" w:type="dxa"/>
            <w:tcBorders>
              <w:top w:val="nil"/>
              <w:left w:val="nil"/>
              <w:bottom w:val="nil"/>
              <w:right w:val="nil"/>
            </w:tcBorders>
            <w:shd w:val="clear" w:color="auto" w:fill="auto"/>
            <w:noWrap/>
            <w:vAlign w:val="bottom"/>
            <w:hideMark/>
          </w:tcPr>
          <w:p w14:paraId="3D50BC58"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-0.69*</w:t>
            </w:r>
          </w:p>
        </w:tc>
        <w:tc>
          <w:tcPr>
            <w:tcW w:w="1786" w:type="dxa"/>
            <w:tcBorders>
              <w:top w:val="nil"/>
              <w:left w:val="nil"/>
              <w:bottom w:val="nil"/>
              <w:right w:val="nil"/>
            </w:tcBorders>
            <w:shd w:val="clear" w:color="auto" w:fill="auto"/>
            <w:noWrap/>
            <w:vAlign w:val="bottom"/>
            <w:hideMark/>
          </w:tcPr>
          <w:p w14:paraId="5D564938" w14:textId="7B14AE10" w:rsidR="00FA0D3B" w:rsidRPr="00FA0D3B" w:rsidRDefault="00FA0D3B" w:rsidP="00FA0D3B">
            <w:pPr>
              <w:spacing w:line="240" w:lineRule="auto"/>
              <w:jc w:val="center"/>
              <w:rPr>
                <w:rFonts w:eastAsia="Times New Roman"/>
                <w:color w:val="000000"/>
              </w:rPr>
            </w:pPr>
            <w:r w:rsidRPr="00FA0D3B">
              <w:rPr>
                <w:rFonts w:eastAsia="Times New Roman"/>
                <w:color w:val="000000"/>
              </w:rPr>
              <w:t>0.3</w:t>
            </w:r>
            <w:r w:rsidR="0080149E">
              <w:rPr>
                <w:rFonts w:eastAsia="Times New Roman"/>
                <w:color w:val="000000"/>
              </w:rPr>
              <w:t>7</w:t>
            </w:r>
          </w:p>
        </w:tc>
      </w:tr>
      <w:tr w:rsidR="00FA0D3B" w:rsidRPr="00FA0D3B" w14:paraId="72B69D4D"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0E3341C6" w14:textId="77777777" w:rsidR="00FA0D3B" w:rsidRPr="00FA0D3B" w:rsidRDefault="00FA0D3B" w:rsidP="00FA0D3B">
            <w:pPr>
              <w:spacing w:line="240" w:lineRule="auto"/>
              <w:rPr>
                <w:rFonts w:eastAsia="Times New Roman"/>
                <w:color w:val="000000"/>
              </w:rPr>
            </w:pPr>
            <w:r w:rsidRPr="00FA0D3B">
              <w:rPr>
                <w:rFonts w:eastAsia="Times New Roman"/>
                <w:color w:val="000000"/>
              </w:rPr>
              <w:t>Border District</w:t>
            </w:r>
          </w:p>
        </w:tc>
        <w:tc>
          <w:tcPr>
            <w:tcW w:w="1251" w:type="dxa"/>
            <w:tcBorders>
              <w:top w:val="nil"/>
              <w:left w:val="nil"/>
              <w:bottom w:val="nil"/>
              <w:right w:val="nil"/>
            </w:tcBorders>
            <w:shd w:val="clear" w:color="auto" w:fill="auto"/>
            <w:noWrap/>
            <w:vAlign w:val="bottom"/>
            <w:hideMark/>
          </w:tcPr>
          <w:p w14:paraId="5F6EFE94" w14:textId="63669B7D" w:rsidR="00FA0D3B" w:rsidRPr="00FA0D3B" w:rsidRDefault="00FA0D3B" w:rsidP="00FA0D3B">
            <w:pPr>
              <w:spacing w:line="240" w:lineRule="auto"/>
              <w:jc w:val="center"/>
              <w:rPr>
                <w:rFonts w:eastAsia="Times New Roman"/>
                <w:color w:val="000000"/>
              </w:rPr>
            </w:pPr>
            <w:r w:rsidRPr="00FA0D3B">
              <w:rPr>
                <w:rFonts w:eastAsia="Times New Roman"/>
                <w:color w:val="000000"/>
              </w:rPr>
              <w:t>0.0</w:t>
            </w:r>
            <w:r w:rsidR="0080149E">
              <w:rPr>
                <w:rFonts w:eastAsia="Times New Roman"/>
                <w:color w:val="000000"/>
              </w:rPr>
              <w:t>4</w:t>
            </w:r>
          </w:p>
        </w:tc>
        <w:tc>
          <w:tcPr>
            <w:tcW w:w="1809" w:type="dxa"/>
            <w:gridSpan w:val="2"/>
            <w:tcBorders>
              <w:top w:val="nil"/>
              <w:left w:val="nil"/>
              <w:bottom w:val="nil"/>
              <w:right w:val="nil"/>
            </w:tcBorders>
            <w:shd w:val="clear" w:color="auto" w:fill="auto"/>
            <w:noWrap/>
            <w:vAlign w:val="bottom"/>
            <w:hideMark/>
          </w:tcPr>
          <w:p w14:paraId="40294FB4" w14:textId="72680391" w:rsidR="00FA0D3B" w:rsidRPr="00FA0D3B" w:rsidRDefault="00FA0D3B" w:rsidP="00FA0D3B">
            <w:pPr>
              <w:spacing w:line="240" w:lineRule="auto"/>
              <w:jc w:val="center"/>
              <w:rPr>
                <w:rFonts w:eastAsia="Times New Roman"/>
                <w:color w:val="000000"/>
              </w:rPr>
            </w:pPr>
            <w:r w:rsidRPr="00FA0D3B">
              <w:rPr>
                <w:rFonts w:eastAsia="Times New Roman"/>
                <w:color w:val="000000"/>
              </w:rPr>
              <w:t>0.8</w:t>
            </w:r>
            <w:r w:rsidR="0080149E">
              <w:rPr>
                <w:rFonts w:eastAsia="Times New Roman"/>
                <w:color w:val="000000"/>
              </w:rPr>
              <w:t>6</w:t>
            </w:r>
          </w:p>
        </w:tc>
        <w:tc>
          <w:tcPr>
            <w:tcW w:w="1174" w:type="dxa"/>
            <w:tcBorders>
              <w:top w:val="nil"/>
              <w:left w:val="nil"/>
              <w:bottom w:val="nil"/>
              <w:right w:val="nil"/>
            </w:tcBorders>
            <w:shd w:val="clear" w:color="auto" w:fill="auto"/>
            <w:noWrap/>
            <w:vAlign w:val="bottom"/>
            <w:hideMark/>
          </w:tcPr>
          <w:p w14:paraId="0BE3815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-0.64</w:t>
            </w:r>
          </w:p>
        </w:tc>
        <w:tc>
          <w:tcPr>
            <w:tcW w:w="1786" w:type="dxa"/>
            <w:tcBorders>
              <w:top w:val="nil"/>
              <w:left w:val="nil"/>
              <w:bottom w:val="nil"/>
              <w:right w:val="nil"/>
            </w:tcBorders>
            <w:shd w:val="clear" w:color="auto" w:fill="auto"/>
            <w:noWrap/>
            <w:vAlign w:val="bottom"/>
            <w:hideMark/>
          </w:tcPr>
          <w:p w14:paraId="31E67F83"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0.83</w:t>
            </w:r>
          </w:p>
        </w:tc>
      </w:tr>
      <w:tr w:rsidR="00FA0D3B" w:rsidRPr="00FA0D3B" w14:paraId="07F1760B"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62BD9592" w14:textId="77777777" w:rsidR="00FA0D3B" w:rsidRPr="00FA0D3B" w:rsidRDefault="00FA0D3B" w:rsidP="00FA0D3B">
            <w:pPr>
              <w:spacing w:line="240" w:lineRule="auto"/>
              <w:rPr>
                <w:rFonts w:eastAsia="Times New Roman"/>
                <w:color w:val="000000"/>
              </w:rPr>
            </w:pPr>
            <w:r w:rsidRPr="00FA0D3B">
              <w:rPr>
                <w:rFonts w:eastAsia="Times New Roman"/>
                <w:color w:val="000000"/>
              </w:rPr>
              <w:t>Transition Year</w:t>
            </w:r>
          </w:p>
        </w:tc>
        <w:tc>
          <w:tcPr>
            <w:tcW w:w="1251" w:type="dxa"/>
            <w:tcBorders>
              <w:top w:val="nil"/>
              <w:left w:val="nil"/>
              <w:bottom w:val="nil"/>
              <w:right w:val="nil"/>
            </w:tcBorders>
            <w:shd w:val="clear" w:color="auto" w:fill="auto"/>
            <w:noWrap/>
            <w:vAlign w:val="bottom"/>
            <w:hideMark/>
          </w:tcPr>
          <w:p w14:paraId="1E1FF2F5" w14:textId="1B5DC6DE"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64</w:t>
            </w:r>
          </w:p>
        </w:tc>
        <w:tc>
          <w:tcPr>
            <w:tcW w:w="1809" w:type="dxa"/>
            <w:gridSpan w:val="2"/>
            <w:tcBorders>
              <w:top w:val="nil"/>
              <w:left w:val="nil"/>
              <w:bottom w:val="nil"/>
              <w:right w:val="nil"/>
            </w:tcBorders>
            <w:shd w:val="clear" w:color="auto" w:fill="auto"/>
            <w:noWrap/>
            <w:vAlign w:val="bottom"/>
            <w:hideMark/>
          </w:tcPr>
          <w:p w14:paraId="4AB87094" w14:textId="77A2E96B" w:rsidR="00FA0D3B" w:rsidRPr="00FA0D3B" w:rsidRDefault="00FA0D3B" w:rsidP="00FA0D3B">
            <w:pPr>
              <w:spacing w:line="240" w:lineRule="auto"/>
              <w:jc w:val="center"/>
              <w:rPr>
                <w:rFonts w:eastAsia="Times New Roman"/>
                <w:color w:val="000000"/>
              </w:rPr>
            </w:pPr>
            <w:r w:rsidRPr="00FA0D3B">
              <w:rPr>
                <w:rFonts w:eastAsia="Times New Roman"/>
                <w:color w:val="000000"/>
              </w:rPr>
              <w:t>0.6</w:t>
            </w:r>
            <w:r w:rsidR="0080149E">
              <w:rPr>
                <w:rFonts w:eastAsia="Times New Roman"/>
                <w:color w:val="000000"/>
              </w:rPr>
              <w:t>3</w:t>
            </w:r>
          </w:p>
        </w:tc>
        <w:tc>
          <w:tcPr>
            <w:tcW w:w="1174" w:type="dxa"/>
            <w:tcBorders>
              <w:top w:val="nil"/>
              <w:left w:val="nil"/>
              <w:bottom w:val="nil"/>
              <w:right w:val="nil"/>
            </w:tcBorders>
            <w:shd w:val="clear" w:color="auto" w:fill="auto"/>
            <w:noWrap/>
            <w:vAlign w:val="bottom"/>
            <w:hideMark/>
          </w:tcPr>
          <w:p w14:paraId="20C3B3DC"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-2.28**</w:t>
            </w:r>
          </w:p>
        </w:tc>
        <w:tc>
          <w:tcPr>
            <w:tcW w:w="1786" w:type="dxa"/>
            <w:tcBorders>
              <w:top w:val="nil"/>
              <w:left w:val="nil"/>
              <w:bottom w:val="nil"/>
              <w:right w:val="nil"/>
            </w:tcBorders>
            <w:shd w:val="clear" w:color="auto" w:fill="auto"/>
            <w:noWrap/>
            <w:vAlign w:val="bottom"/>
            <w:hideMark/>
          </w:tcPr>
          <w:p w14:paraId="0ED7CD73"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1.07</w:t>
            </w:r>
          </w:p>
        </w:tc>
      </w:tr>
      <w:tr w:rsidR="00FA0D3B" w:rsidRPr="00FA0D3B" w14:paraId="03CD02E3"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554A3F7D" w14:textId="77777777" w:rsidR="00FA0D3B" w:rsidRPr="00FA0D3B" w:rsidRDefault="00FA0D3B" w:rsidP="00FA0D3B">
            <w:pPr>
              <w:spacing w:line="240" w:lineRule="auto"/>
              <w:rPr>
                <w:rFonts w:eastAsia="Times New Roman"/>
                <w:color w:val="000000"/>
              </w:rPr>
            </w:pPr>
            <w:r w:rsidRPr="00FA0D3B">
              <w:rPr>
                <w:rFonts w:eastAsia="Times New Roman"/>
                <w:color w:val="000000"/>
              </w:rPr>
              <w:t>Year Leaving</w:t>
            </w:r>
          </w:p>
        </w:tc>
        <w:tc>
          <w:tcPr>
            <w:tcW w:w="1251" w:type="dxa"/>
            <w:tcBorders>
              <w:top w:val="nil"/>
              <w:left w:val="nil"/>
              <w:bottom w:val="nil"/>
              <w:right w:val="nil"/>
            </w:tcBorders>
            <w:shd w:val="clear" w:color="auto" w:fill="auto"/>
            <w:noWrap/>
            <w:vAlign w:val="bottom"/>
            <w:hideMark/>
          </w:tcPr>
          <w:p w14:paraId="1C7280CB" w14:textId="3FE1A59B" w:rsidR="00FA0D3B" w:rsidRPr="00FA0D3B" w:rsidRDefault="00FA0D3B" w:rsidP="00FA0D3B">
            <w:pPr>
              <w:spacing w:line="240" w:lineRule="auto"/>
              <w:jc w:val="center"/>
              <w:rPr>
                <w:rFonts w:eastAsia="Times New Roman"/>
                <w:color w:val="000000"/>
              </w:rPr>
            </w:pPr>
            <w:r w:rsidRPr="00FA0D3B">
              <w:rPr>
                <w:rFonts w:eastAsia="Times New Roman"/>
                <w:color w:val="000000"/>
              </w:rPr>
              <w:t>-0.03</w:t>
            </w:r>
            <w:r w:rsidR="0080149E">
              <w:rPr>
                <w:rFonts w:eastAsia="Times New Roman"/>
                <w:color w:val="000000"/>
              </w:rPr>
              <w:t>4</w:t>
            </w:r>
          </w:p>
        </w:tc>
        <w:tc>
          <w:tcPr>
            <w:tcW w:w="1809" w:type="dxa"/>
            <w:gridSpan w:val="2"/>
            <w:tcBorders>
              <w:top w:val="nil"/>
              <w:left w:val="nil"/>
              <w:bottom w:val="nil"/>
              <w:right w:val="nil"/>
            </w:tcBorders>
            <w:shd w:val="clear" w:color="auto" w:fill="auto"/>
            <w:noWrap/>
            <w:vAlign w:val="bottom"/>
            <w:hideMark/>
          </w:tcPr>
          <w:p w14:paraId="6FC3B22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0.02</w:t>
            </w:r>
          </w:p>
        </w:tc>
        <w:tc>
          <w:tcPr>
            <w:tcW w:w="1174" w:type="dxa"/>
            <w:tcBorders>
              <w:top w:val="nil"/>
              <w:left w:val="nil"/>
              <w:bottom w:val="nil"/>
              <w:right w:val="nil"/>
            </w:tcBorders>
            <w:shd w:val="clear" w:color="auto" w:fill="auto"/>
            <w:noWrap/>
            <w:vAlign w:val="bottom"/>
            <w:hideMark/>
          </w:tcPr>
          <w:p w14:paraId="41975EA9"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-0.02</w:t>
            </w:r>
          </w:p>
        </w:tc>
        <w:tc>
          <w:tcPr>
            <w:tcW w:w="1786" w:type="dxa"/>
            <w:tcBorders>
              <w:top w:val="nil"/>
              <w:left w:val="nil"/>
              <w:bottom w:val="nil"/>
              <w:right w:val="nil"/>
            </w:tcBorders>
            <w:shd w:val="clear" w:color="auto" w:fill="auto"/>
            <w:noWrap/>
            <w:vAlign w:val="bottom"/>
            <w:hideMark/>
          </w:tcPr>
          <w:p w14:paraId="67174C0A"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0.02</w:t>
            </w:r>
          </w:p>
        </w:tc>
      </w:tr>
      <w:tr w:rsidR="00FA0D3B" w:rsidRPr="00FA0D3B" w14:paraId="15A8ACB6"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6AF47D7A" w14:textId="77777777" w:rsidR="00FA0D3B" w:rsidRPr="00FA0D3B" w:rsidRDefault="00FA0D3B" w:rsidP="00FA0D3B">
            <w:pPr>
              <w:spacing w:line="240" w:lineRule="auto"/>
              <w:rPr>
                <w:rFonts w:eastAsia="Times New Roman"/>
                <w:color w:val="000000"/>
              </w:rPr>
            </w:pPr>
            <w:r w:rsidRPr="00FA0D3B">
              <w:rPr>
                <w:rFonts w:eastAsia="Times New Roman"/>
                <w:color w:val="000000"/>
              </w:rPr>
              <w:t>Constant</w:t>
            </w:r>
          </w:p>
        </w:tc>
        <w:tc>
          <w:tcPr>
            <w:tcW w:w="1251" w:type="dxa"/>
            <w:tcBorders>
              <w:top w:val="nil"/>
              <w:left w:val="nil"/>
              <w:bottom w:val="nil"/>
              <w:right w:val="nil"/>
            </w:tcBorders>
            <w:shd w:val="clear" w:color="auto" w:fill="auto"/>
            <w:noWrap/>
            <w:vAlign w:val="bottom"/>
            <w:hideMark/>
          </w:tcPr>
          <w:p w14:paraId="407EA84F" w14:textId="2DA842E4" w:rsidR="00FA0D3B" w:rsidRPr="00FA0D3B" w:rsidRDefault="00FA0D3B" w:rsidP="00FA0D3B">
            <w:pPr>
              <w:spacing w:line="240" w:lineRule="auto"/>
              <w:jc w:val="center"/>
              <w:rPr>
                <w:rFonts w:eastAsia="Times New Roman"/>
                <w:color w:val="000000"/>
              </w:rPr>
            </w:pPr>
            <w:r w:rsidRPr="00FA0D3B">
              <w:rPr>
                <w:rFonts w:eastAsia="Times New Roman"/>
                <w:color w:val="000000"/>
              </w:rPr>
              <w:t>6</w:t>
            </w:r>
            <w:r w:rsidR="0080149E">
              <w:rPr>
                <w:rFonts w:eastAsia="Times New Roman"/>
                <w:color w:val="000000"/>
              </w:rPr>
              <w:t>5</w:t>
            </w:r>
            <w:r w:rsidRPr="00FA0D3B">
              <w:rPr>
                <w:rFonts w:eastAsia="Times New Roman"/>
                <w:color w:val="000000"/>
              </w:rPr>
              <w:t>.</w:t>
            </w:r>
            <w:r w:rsidR="0080149E">
              <w:rPr>
                <w:rFonts w:eastAsia="Times New Roman"/>
                <w:color w:val="000000"/>
              </w:rPr>
              <w:t>81</w:t>
            </w:r>
          </w:p>
        </w:tc>
        <w:tc>
          <w:tcPr>
            <w:tcW w:w="1809" w:type="dxa"/>
            <w:gridSpan w:val="2"/>
            <w:tcBorders>
              <w:top w:val="nil"/>
              <w:left w:val="nil"/>
              <w:bottom w:val="nil"/>
              <w:right w:val="nil"/>
            </w:tcBorders>
            <w:shd w:val="clear" w:color="auto" w:fill="auto"/>
            <w:noWrap/>
            <w:vAlign w:val="bottom"/>
            <w:hideMark/>
          </w:tcPr>
          <w:p w14:paraId="560BA342" w14:textId="2B1AE6D7" w:rsidR="00FA0D3B" w:rsidRPr="00FA0D3B" w:rsidRDefault="00FA0D3B" w:rsidP="00FA0D3B">
            <w:pPr>
              <w:spacing w:line="240" w:lineRule="auto"/>
              <w:jc w:val="center"/>
              <w:rPr>
                <w:rFonts w:eastAsia="Times New Roman"/>
                <w:color w:val="000000"/>
              </w:rPr>
            </w:pPr>
            <w:r w:rsidRPr="00FA0D3B">
              <w:rPr>
                <w:rFonts w:eastAsia="Times New Roman"/>
                <w:color w:val="000000"/>
              </w:rPr>
              <w:t>4</w:t>
            </w:r>
            <w:r w:rsidR="0080149E">
              <w:rPr>
                <w:rFonts w:eastAsia="Times New Roman"/>
                <w:color w:val="000000"/>
              </w:rPr>
              <w:t>8</w:t>
            </w:r>
            <w:r w:rsidRPr="00FA0D3B">
              <w:rPr>
                <w:rFonts w:eastAsia="Times New Roman"/>
                <w:color w:val="000000"/>
              </w:rPr>
              <w:t>.9</w:t>
            </w:r>
            <w:r w:rsidR="0080149E">
              <w:rPr>
                <w:rFonts w:eastAsia="Times New Roman"/>
                <w:color w:val="000000"/>
              </w:rPr>
              <w:t>5</w:t>
            </w:r>
          </w:p>
        </w:tc>
        <w:tc>
          <w:tcPr>
            <w:tcW w:w="1174" w:type="dxa"/>
            <w:tcBorders>
              <w:top w:val="nil"/>
              <w:left w:val="nil"/>
              <w:bottom w:val="nil"/>
              <w:right w:val="nil"/>
            </w:tcBorders>
            <w:shd w:val="clear" w:color="auto" w:fill="auto"/>
            <w:noWrap/>
            <w:vAlign w:val="bottom"/>
            <w:hideMark/>
          </w:tcPr>
          <w:p w14:paraId="1782FC89"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35.44</w:t>
            </w:r>
          </w:p>
        </w:tc>
        <w:tc>
          <w:tcPr>
            <w:tcW w:w="1786" w:type="dxa"/>
            <w:tcBorders>
              <w:top w:val="nil"/>
              <w:left w:val="nil"/>
              <w:bottom w:val="nil"/>
              <w:right w:val="nil"/>
            </w:tcBorders>
            <w:shd w:val="clear" w:color="auto" w:fill="auto"/>
            <w:noWrap/>
            <w:vAlign w:val="bottom"/>
            <w:hideMark/>
          </w:tcPr>
          <w:p w14:paraId="171EDA48"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43.14</w:t>
            </w:r>
          </w:p>
        </w:tc>
      </w:tr>
      <w:tr w:rsidR="00FA0D3B" w:rsidRPr="00FA0D3B" w14:paraId="2D71857A"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02F69092" w14:textId="77777777" w:rsidR="00FA0D3B" w:rsidRPr="00FA0D3B" w:rsidRDefault="00FA0D3B" w:rsidP="00FA0D3B">
            <w:pPr>
              <w:spacing w:line="240" w:lineRule="auto"/>
              <w:jc w:val="center"/>
              <w:rPr>
                <w:rFonts w:eastAsia="Times New Roman"/>
                <w:color w:val="000000"/>
              </w:rPr>
            </w:pPr>
          </w:p>
        </w:tc>
        <w:tc>
          <w:tcPr>
            <w:tcW w:w="1251" w:type="dxa"/>
            <w:tcBorders>
              <w:top w:val="nil"/>
              <w:left w:val="nil"/>
              <w:bottom w:val="nil"/>
              <w:right w:val="nil"/>
            </w:tcBorders>
            <w:shd w:val="clear" w:color="auto" w:fill="auto"/>
            <w:noWrap/>
            <w:vAlign w:val="bottom"/>
            <w:hideMark/>
          </w:tcPr>
          <w:p w14:paraId="4814EB55" w14:textId="77777777" w:rsidR="00FA0D3B" w:rsidRPr="00FA0D3B" w:rsidRDefault="00FA0D3B" w:rsidP="00FA0D3B">
            <w:pPr>
              <w:spacing w:line="240" w:lineRule="auto"/>
              <w:rPr>
                <w:rFonts w:eastAsia="Times New Roman"/>
                <w:sz w:val="20"/>
                <w:szCs w:val="20"/>
              </w:rPr>
            </w:pPr>
          </w:p>
        </w:tc>
        <w:tc>
          <w:tcPr>
            <w:tcW w:w="1809" w:type="dxa"/>
            <w:gridSpan w:val="2"/>
            <w:tcBorders>
              <w:top w:val="nil"/>
              <w:left w:val="nil"/>
              <w:bottom w:val="nil"/>
              <w:right w:val="nil"/>
            </w:tcBorders>
            <w:shd w:val="clear" w:color="auto" w:fill="auto"/>
            <w:noWrap/>
            <w:vAlign w:val="bottom"/>
            <w:hideMark/>
          </w:tcPr>
          <w:p w14:paraId="659501DB" w14:textId="77777777" w:rsidR="00FA0D3B" w:rsidRPr="00FA0D3B" w:rsidRDefault="00FA0D3B" w:rsidP="00FA0D3B">
            <w:pPr>
              <w:spacing w:line="240" w:lineRule="auto"/>
              <w:jc w:val="center"/>
              <w:rPr>
                <w:rFonts w:eastAsia="Times New Roman"/>
                <w:sz w:val="20"/>
                <w:szCs w:val="20"/>
              </w:rPr>
            </w:pPr>
          </w:p>
        </w:tc>
        <w:tc>
          <w:tcPr>
            <w:tcW w:w="1174" w:type="dxa"/>
            <w:tcBorders>
              <w:top w:val="nil"/>
              <w:left w:val="nil"/>
              <w:bottom w:val="nil"/>
              <w:right w:val="nil"/>
            </w:tcBorders>
            <w:shd w:val="clear" w:color="auto" w:fill="auto"/>
            <w:noWrap/>
            <w:vAlign w:val="bottom"/>
            <w:hideMark/>
          </w:tcPr>
          <w:p w14:paraId="20752792" w14:textId="77777777" w:rsidR="00FA0D3B" w:rsidRPr="00FA0D3B" w:rsidRDefault="00FA0D3B" w:rsidP="00FA0D3B">
            <w:pPr>
              <w:spacing w:line="240" w:lineRule="auto"/>
              <w:jc w:val="center"/>
              <w:rPr>
                <w:rFonts w:eastAsia="Times New Roman"/>
                <w:sz w:val="20"/>
                <w:szCs w:val="20"/>
              </w:rPr>
            </w:pPr>
          </w:p>
        </w:tc>
        <w:tc>
          <w:tcPr>
            <w:tcW w:w="1786" w:type="dxa"/>
            <w:tcBorders>
              <w:top w:val="nil"/>
              <w:left w:val="nil"/>
              <w:bottom w:val="nil"/>
              <w:right w:val="nil"/>
            </w:tcBorders>
            <w:shd w:val="clear" w:color="auto" w:fill="auto"/>
            <w:noWrap/>
            <w:vAlign w:val="bottom"/>
            <w:hideMark/>
          </w:tcPr>
          <w:p w14:paraId="497BCCED" w14:textId="77777777" w:rsidR="00FA0D3B" w:rsidRPr="00FA0D3B" w:rsidRDefault="00FA0D3B" w:rsidP="00FA0D3B">
            <w:pPr>
              <w:spacing w:line="240" w:lineRule="auto"/>
              <w:jc w:val="center"/>
              <w:rPr>
                <w:rFonts w:eastAsia="Times New Roman"/>
                <w:sz w:val="20"/>
                <w:szCs w:val="20"/>
              </w:rPr>
            </w:pPr>
          </w:p>
        </w:tc>
      </w:tr>
      <w:tr w:rsidR="00FA0D3B" w:rsidRPr="00FA0D3B" w14:paraId="14CCDA56"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771A69F1" w14:textId="77777777" w:rsidR="00FA0D3B" w:rsidRPr="00FA0D3B" w:rsidRDefault="00FA0D3B" w:rsidP="00FA0D3B">
            <w:pPr>
              <w:spacing w:line="240" w:lineRule="auto"/>
              <w:rPr>
                <w:rFonts w:eastAsia="Times New Roman"/>
                <w:color w:val="000000"/>
              </w:rPr>
            </w:pPr>
            <w:r w:rsidRPr="00FA0D3B">
              <w:rPr>
                <w:rFonts w:eastAsia="Times New Roman"/>
                <w:color w:val="000000"/>
              </w:rPr>
              <w:t>N</w:t>
            </w:r>
          </w:p>
        </w:tc>
        <w:tc>
          <w:tcPr>
            <w:tcW w:w="3060" w:type="dxa"/>
            <w:gridSpan w:val="3"/>
            <w:tcBorders>
              <w:top w:val="nil"/>
              <w:left w:val="nil"/>
              <w:bottom w:val="nil"/>
              <w:right w:val="nil"/>
            </w:tcBorders>
            <w:shd w:val="clear" w:color="auto" w:fill="auto"/>
            <w:noWrap/>
            <w:vAlign w:val="bottom"/>
            <w:hideMark/>
          </w:tcPr>
          <w:p w14:paraId="4B5F2D79"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457</w:t>
            </w:r>
          </w:p>
        </w:tc>
        <w:tc>
          <w:tcPr>
            <w:tcW w:w="2960" w:type="dxa"/>
            <w:gridSpan w:val="2"/>
            <w:tcBorders>
              <w:top w:val="nil"/>
              <w:left w:val="nil"/>
              <w:bottom w:val="nil"/>
              <w:right w:val="nil"/>
            </w:tcBorders>
            <w:shd w:val="clear" w:color="auto" w:fill="auto"/>
            <w:noWrap/>
            <w:vAlign w:val="bottom"/>
            <w:hideMark/>
          </w:tcPr>
          <w:p w14:paraId="1D605C97"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457</w:t>
            </w:r>
          </w:p>
        </w:tc>
      </w:tr>
      <w:tr w:rsidR="00FA0D3B" w:rsidRPr="00FA0D3B" w14:paraId="26037436" w14:textId="77777777" w:rsidTr="00FA0D3B">
        <w:tblPrEx>
          <w:jc w:val="left"/>
        </w:tblPrEx>
        <w:trPr>
          <w:trHeight w:val="315"/>
        </w:trPr>
        <w:tc>
          <w:tcPr>
            <w:tcW w:w="2300" w:type="dxa"/>
            <w:gridSpan w:val="2"/>
            <w:tcBorders>
              <w:top w:val="nil"/>
              <w:left w:val="nil"/>
              <w:bottom w:val="nil"/>
              <w:right w:val="nil"/>
            </w:tcBorders>
            <w:shd w:val="clear" w:color="auto" w:fill="auto"/>
            <w:noWrap/>
            <w:vAlign w:val="bottom"/>
            <w:hideMark/>
          </w:tcPr>
          <w:p w14:paraId="11E0C1AE" w14:textId="77777777" w:rsidR="00FA0D3B" w:rsidRPr="00FA0D3B" w:rsidRDefault="00FA0D3B" w:rsidP="00FA0D3B">
            <w:pPr>
              <w:spacing w:line="240" w:lineRule="auto"/>
              <w:rPr>
                <w:rFonts w:eastAsia="Times New Roman"/>
                <w:color w:val="000000"/>
              </w:rPr>
            </w:pPr>
            <w:r w:rsidRPr="00FA0D3B">
              <w:rPr>
                <w:rFonts w:eastAsia="Times New Roman"/>
                <w:color w:val="000000"/>
              </w:rPr>
              <w:t>Districts</w:t>
            </w:r>
          </w:p>
        </w:tc>
        <w:tc>
          <w:tcPr>
            <w:tcW w:w="3060" w:type="dxa"/>
            <w:gridSpan w:val="3"/>
            <w:tcBorders>
              <w:top w:val="nil"/>
              <w:left w:val="nil"/>
              <w:bottom w:val="nil"/>
              <w:right w:val="nil"/>
            </w:tcBorders>
            <w:shd w:val="clear" w:color="auto" w:fill="auto"/>
            <w:noWrap/>
            <w:vAlign w:val="bottom"/>
            <w:hideMark/>
          </w:tcPr>
          <w:p w14:paraId="7672D8AB"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90</w:t>
            </w:r>
          </w:p>
        </w:tc>
        <w:tc>
          <w:tcPr>
            <w:tcW w:w="2960" w:type="dxa"/>
            <w:gridSpan w:val="2"/>
            <w:tcBorders>
              <w:top w:val="nil"/>
              <w:left w:val="nil"/>
              <w:bottom w:val="nil"/>
              <w:right w:val="nil"/>
            </w:tcBorders>
            <w:shd w:val="clear" w:color="auto" w:fill="auto"/>
            <w:noWrap/>
            <w:vAlign w:val="bottom"/>
            <w:hideMark/>
          </w:tcPr>
          <w:p w14:paraId="2EEF1B9F"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90</w:t>
            </w:r>
          </w:p>
        </w:tc>
      </w:tr>
      <w:tr w:rsidR="00FA0D3B" w:rsidRPr="00FA0D3B" w14:paraId="7A33A50A" w14:textId="77777777" w:rsidTr="00FA0D3B">
        <w:tblPrEx>
          <w:jc w:val="left"/>
        </w:tblPrEx>
        <w:trPr>
          <w:trHeight w:val="375"/>
        </w:trPr>
        <w:tc>
          <w:tcPr>
            <w:tcW w:w="2300" w:type="dxa"/>
            <w:gridSpan w:val="2"/>
            <w:tcBorders>
              <w:top w:val="nil"/>
              <w:left w:val="nil"/>
              <w:bottom w:val="nil"/>
              <w:right w:val="nil"/>
            </w:tcBorders>
            <w:shd w:val="clear" w:color="auto" w:fill="auto"/>
            <w:noWrap/>
            <w:vAlign w:val="bottom"/>
            <w:hideMark/>
          </w:tcPr>
          <w:p w14:paraId="6D8E0019" w14:textId="77777777" w:rsidR="00FA0D3B" w:rsidRPr="00FA0D3B" w:rsidRDefault="00FA0D3B" w:rsidP="00FA0D3B">
            <w:pPr>
              <w:spacing w:line="240" w:lineRule="auto"/>
              <w:rPr>
                <w:rFonts w:eastAsia="Times New Roman"/>
                <w:color w:val="000000"/>
              </w:rPr>
            </w:pPr>
            <w:r w:rsidRPr="00FA0D3B">
              <w:rPr>
                <w:rFonts w:eastAsia="Times New Roman"/>
                <w:color w:val="000000"/>
              </w:rPr>
              <w:t>Wald χ</w:t>
            </w:r>
            <w:r w:rsidRPr="00FA0D3B">
              <w:rPr>
                <w:rFonts w:eastAsia="Times New Roman"/>
                <w:color w:val="000000"/>
                <w:vertAlign w:val="superscript"/>
              </w:rPr>
              <w:t>2</w:t>
            </w:r>
          </w:p>
        </w:tc>
        <w:tc>
          <w:tcPr>
            <w:tcW w:w="3060" w:type="dxa"/>
            <w:gridSpan w:val="3"/>
            <w:tcBorders>
              <w:top w:val="nil"/>
              <w:left w:val="nil"/>
              <w:bottom w:val="nil"/>
              <w:right w:val="nil"/>
            </w:tcBorders>
            <w:shd w:val="clear" w:color="auto" w:fill="auto"/>
            <w:noWrap/>
            <w:vAlign w:val="bottom"/>
            <w:hideMark/>
          </w:tcPr>
          <w:p w14:paraId="7BA6C008" w14:textId="792836E7" w:rsidR="00FA0D3B" w:rsidRPr="00FA0D3B" w:rsidRDefault="00FA0D3B" w:rsidP="00FA0D3B">
            <w:pPr>
              <w:spacing w:line="240" w:lineRule="auto"/>
              <w:jc w:val="center"/>
              <w:rPr>
                <w:rFonts w:eastAsia="Times New Roman"/>
                <w:color w:val="000000"/>
              </w:rPr>
            </w:pPr>
            <w:r w:rsidRPr="00FA0D3B">
              <w:rPr>
                <w:rFonts w:eastAsia="Times New Roman"/>
                <w:color w:val="000000"/>
              </w:rPr>
              <w:t>2</w:t>
            </w:r>
            <w:r w:rsidR="0080149E">
              <w:rPr>
                <w:rFonts w:eastAsia="Times New Roman"/>
                <w:color w:val="000000"/>
              </w:rPr>
              <w:t>8</w:t>
            </w:r>
            <w:r w:rsidRPr="00FA0D3B">
              <w:rPr>
                <w:rFonts w:eastAsia="Times New Roman"/>
                <w:color w:val="000000"/>
              </w:rPr>
              <w:t>.</w:t>
            </w:r>
            <w:r w:rsidR="0080149E">
              <w:rPr>
                <w:rFonts w:eastAsia="Times New Roman"/>
                <w:color w:val="000000"/>
              </w:rPr>
              <w:t>30</w:t>
            </w:r>
            <w:r w:rsidRPr="00FA0D3B">
              <w:rPr>
                <w:rFonts w:eastAsia="Times New Roman"/>
                <w:color w:val="000000"/>
              </w:rPr>
              <w:t xml:space="preserve"> (0.00)</w:t>
            </w:r>
          </w:p>
        </w:tc>
        <w:tc>
          <w:tcPr>
            <w:tcW w:w="2960" w:type="dxa"/>
            <w:gridSpan w:val="2"/>
            <w:tcBorders>
              <w:top w:val="nil"/>
              <w:left w:val="nil"/>
              <w:bottom w:val="nil"/>
              <w:right w:val="nil"/>
            </w:tcBorders>
            <w:shd w:val="clear" w:color="auto" w:fill="auto"/>
            <w:noWrap/>
            <w:vAlign w:val="bottom"/>
            <w:hideMark/>
          </w:tcPr>
          <w:p w14:paraId="4721E3F9"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71.51 (0.00)</w:t>
            </w:r>
          </w:p>
        </w:tc>
      </w:tr>
      <w:tr w:rsidR="00FA0D3B" w:rsidRPr="00FA0D3B" w14:paraId="654AA231" w14:textId="77777777" w:rsidTr="00FA0D3B">
        <w:tblPrEx>
          <w:jc w:val="left"/>
        </w:tblPrEx>
        <w:trPr>
          <w:trHeight w:val="315"/>
        </w:trPr>
        <w:tc>
          <w:tcPr>
            <w:tcW w:w="2300" w:type="dxa"/>
            <w:gridSpan w:val="2"/>
            <w:tcBorders>
              <w:top w:val="nil"/>
              <w:left w:val="nil"/>
              <w:bottom w:val="single" w:sz="4" w:space="0" w:color="auto"/>
              <w:right w:val="nil"/>
            </w:tcBorders>
            <w:shd w:val="clear" w:color="auto" w:fill="auto"/>
            <w:noWrap/>
            <w:vAlign w:val="bottom"/>
            <w:hideMark/>
          </w:tcPr>
          <w:p w14:paraId="2A4F6BD1" w14:textId="77777777" w:rsidR="00FA0D3B" w:rsidRPr="00FA0D3B" w:rsidRDefault="00FA0D3B" w:rsidP="00FA0D3B">
            <w:pPr>
              <w:spacing w:line="240" w:lineRule="auto"/>
              <w:rPr>
                <w:rFonts w:eastAsia="Times New Roman"/>
                <w:color w:val="000000"/>
              </w:rPr>
            </w:pPr>
            <w:r w:rsidRPr="00FA0D3B">
              <w:rPr>
                <w:rFonts w:eastAsia="Times New Roman"/>
                <w:color w:val="000000"/>
              </w:rPr>
              <w:t>Area under ROC</w:t>
            </w:r>
          </w:p>
        </w:tc>
        <w:tc>
          <w:tcPr>
            <w:tcW w:w="3060" w:type="dxa"/>
            <w:gridSpan w:val="3"/>
            <w:tcBorders>
              <w:top w:val="nil"/>
              <w:left w:val="nil"/>
              <w:bottom w:val="single" w:sz="4" w:space="0" w:color="auto"/>
              <w:right w:val="nil"/>
            </w:tcBorders>
            <w:shd w:val="clear" w:color="auto" w:fill="auto"/>
            <w:noWrap/>
            <w:vAlign w:val="bottom"/>
            <w:hideMark/>
          </w:tcPr>
          <w:p w14:paraId="43E7FC14" w14:textId="16CF2C77" w:rsidR="00FA0D3B" w:rsidRPr="00FA0D3B" w:rsidRDefault="00FA0D3B" w:rsidP="00FA0D3B">
            <w:pPr>
              <w:spacing w:line="240" w:lineRule="auto"/>
              <w:jc w:val="center"/>
              <w:rPr>
                <w:rFonts w:eastAsia="Times New Roman"/>
                <w:color w:val="000000"/>
              </w:rPr>
            </w:pPr>
            <w:r w:rsidRPr="00FA0D3B">
              <w:rPr>
                <w:rFonts w:eastAsia="Times New Roman"/>
                <w:color w:val="000000"/>
              </w:rPr>
              <w:t>0.6</w:t>
            </w:r>
            <w:r w:rsidR="0080149E">
              <w:rPr>
                <w:rFonts w:eastAsia="Times New Roman"/>
                <w:color w:val="000000"/>
              </w:rPr>
              <w:t>9</w:t>
            </w:r>
          </w:p>
        </w:tc>
        <w:tc>
          <w:tcPr>
            <w:tcW w:w="2960" w:type="dxa"/>
            <w:gridSpan w:val="2"/>
            <w:tcBorders>
              <w:top w:val="nil"/>
              <w:left w:val="nil"/>
              <w:bottom w:val="single" w:sz="4" w:space="0" w:color="auto"/>
              <w:right w:val="nil"/>
            </w:tcBorders>
            <w:shd w:val="clear" w:color="auto" w:fill="auto"/>
            <w:noWrap/>
            <w:vAlign w:val="bottom"/>
            <w:hideMark/>
          </w:tcPr>
          <w:p w14:paraId="35BE6C39"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0.83</w:t>
            </w:r>
          </w:p>
        </w:tc>
      </w:tr>
    </w:tbl>
    <w:p w14:paraId="5ED2F5DA" w14:textId="7B6192A1" w:rsidR="00052A11" w:rsidRDefault="00052A11" w:rsidP="00E029C2">
      <w:pPr>
        <w:spacing w:line="240" w:lineRule="auto"/>
        <w:ind w:left="540"/>
      </w:pPr>
      <w:r>
        <w:t>** is statistically significant at p &lt; 0.05 (two-tailed); * is statistically significant at p &lt; 0.10 (two-tailed).</w:t>
      </w:r>
    </w:p>
    <w:p w14:paraId="69433780" w14:textId="6423B4FE" w:rsidR="00052A11" w:rsidRDefault="00052A11" w:rsidP="00E029C2">
      <w:pPr>
        <w:spacing w:line="240" w:lineRule="auto"/>
        <w:ind w:left="540"/>
      </w:pPr>
    </w:p>
    <w:p w14:paraId="48E354EE" w14:textId="68CA546D" w:rsidR="00052A11" w:rsidRDefault="00052A11">
      <w:r>
        <w:br w:type="page"/>
      </w:r>
    </w:p>
    <w:p w14:paraId="1AF4D289" w14:textId="5D18B135" w:rsidR="00C278A1" w:rsidRDefault="00C278A1" w:rsidP="00C278A1">
      <w:pPr>
        <w:spacing w:line="240" w:lineRule="auto"/>
        <w:jc w:val="center"/>
        <w:rPr>
          <w:b/>
        </w:rPr>
      </w:pPr>
      <w:r>
        <w:rPr>
          <w:b/>
        </w:rPr>
        <w:lastRenderedPageBreak/>
        <w:t>Table A2: Interactive Regression Models, Federal Bureaucracy</w:t>
      </w:r>
    </w:p>
    <w:tbl>
      <w:tblPr>
        <w:tblW w:w="11520" w:type="dxa"/>
        <w:jc w:val="center"/>
        <w:tblLook w:val="04A0" w:firstRow="1" w:lastRow="0" w:firstColumn="1" w:lastColumn="0" w:noHBand="0" w:noVBand="1"/>
      </w:tblPr>
      <w:tblGrid>
        <w:gridCol w:w="2746"/>
        <w:gridCol w:w="1621"/>
        <w:gridCol w:w="1765"/>
        <w:gridCol w:w="1672"/>
        <w:gridCol w:w="1858"/>
        <w:gridCol w:w="1858"/>
      </w:tblGrid>
      <w:tr w:rsidR="00FA0D3B" w:rsidRPr="00FA0D3B" w14:paraId="32AF1FF6" w14:textId="77777777" w:rsidTr="00C278A1">
        <w:trPr>
          <w:trHeight w:val="315"/>
          <w:jc w:val="center"/>
        </w:trPr>
        <w:tc>
          <w:tcPr>
            <w:tcW w:w="2660" w:type="dxa"/>
            <w:tcBorders>
              <w:top w:val="single" w:sz="4" w:space="0" w:color="auto"/>
              <w:left w:val="nil"/>
              <w:bottom w:val="single" w:sz="4" w:space="0" w:color="auto"/>
              <w:right w:val="nil"/>
            </w:tcBorders>
            <w:shd w:val="clear" w:color="auto" w:fill="auto"/>
            <w:noWrap/>
            <w:vAlign w:val="bottom"/>
            <w:hideMark/>
          </w:tcPr>
          <w:p w14:paraId="400E1863" w14:textId="4EDADCA2" w:rsidR="00FA0D3B" w:rsidRPr="00FA0D3B" w:rsidRDefault="00FA0D3B" w:rsidP="00FA0D3B">
            <w:pPr>
              <w:spacing w:line="240" w:lineRule="auto"/>
              <w:rPr>
                <w:rFonts w:eastAsia="Times New Roman"/>
                <w:color w:val="000000"/>
              </w:rPr>
            </w:pPr>
          </w:p>
        </w:tc>
        <w:tc>
          <w:tcPr>
            <w:tcW w:w="1570" w:type="dxa"/>
            <w:tcBorders>
              <w:top w:val="single" w:sz="4" w:space="0" w:color="auto"/>
              <w:left w:val="nil"/>
              <w:bottom w:val="single" w:sz="4" w:space="0" w:color="auto"/>
              <w:right w:val="nil"/>
            </w:tcBorders>
            <w:shd w:val="clear" w:color="auto" w:fill="auto"/>
            <w:noWrap/>
            <w:vAlign w:val="bottom"/>
            <w:hideMark/>
          </w:tcPr>
          <w:p w14:paraId="77CA5D50"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Model 3</w:t>
            </w:r>
          </w:p>
        </w:tc>
        <w:tc>
          <w:tcPr>
            <w:tcW w:w="1710" w:type="dxa"/>
            <w:tcBorders>
              <w:top w:val="single" w:sz="4" w:space="0" w:color="auto"/>
              <w:left w:val="nil"/>
              <w:bottom w:val="single" w:sz="4" w:space="0" w:color="auto"/>
              <w:right w:val="nil"/>
            </w:tcBorders>
            <w:shd w:val="clear" w:color="auto" w:fill="auto"/>
            <w:noWrap/>
            <w:vAlign w:val="bottom"/>
            <w:hideMark/>
          </w:tcPr>
          <w:p w14:paraId="296AAD9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Model 4</w:t>
            </w:r>
          </w:p>
        </w:tc>
        <w:tc>
          <w:tcPr>
            <w:tcW w:w="1620" w:type="dxa"/>
            <w:tcBorders>
              <w:top w:val="single" w:sz="4" w:space="0" w:color="auto"/>
              <w:left w:val="nil"/>
              <w:bottom w:val="single" w:sz="4" w:space="0" w:color="auto"/>
              <w:right w:val="nil"/>
            </w:tcBorders>
            <w:shd w:val="clear" w:color="auto" w:fill="auto"/>
            <w:noWrap/>
            <w:vAlign w:val="bottom"/>
            <w:hideMark/>
          </w:tcPr>
          <w:p w14:paraId="7C933B12"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Model 5</w:t>
            </w:r>
          </w:p>
        </w:tc>
        <w:tc>
          <w:tcPr>
            <w:tcW w:w="1800" w:type="dxa"/>
            <w:tcBorders>
              <w:top w:val="single" w:sz="4" w:space="0" w:color="auto"/>
              <w:left w:val="nil"/>
              <w:bottom w:val="single" w:sz="4" w:space="0" w:color="auto"/>
              <w:right w:val="nil"/>
            </w:tcBorders>
            <w:shd w:val="clear" w:color="auto" w:fill="auto"/>
            <w:noWrap/>
            <w:vAlign w:val="bottom"/>
            <w:hideMark/>
          </w:tcPr>
          <w:p w14:paraId="374E15FA"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Model 6</w:t>
            </w:r>
          </w:p>
        </w:tc>
        <w:tc>
          <w:tcPr>
            <w:tcW w:w="1800" w:type="dxa"/>
            <w:tcBorders>
              <w:top w:val="single" w:sz="4" w:space="0" w:color="auto"/>
              <w:left w:val="nil"/>
              <w:bottom w:val="single" w:sz="4" w:space="0" w:color="auto"/>
              <w:right w:val="nil"/>
            </w:tcBorders>
            <w:shd w:val="clear" w:color="auto" w:fill="auto"/>
            <w:noWrap/>
            <w:vAlign w:val="bottom"/>
            <w:hideMark/>
          </w:tcPr>
          <w:p w14:paraId="49ADFC26"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Model 7</w:t>
            </w:r>
          </w:p>
        </w:tc>
      </w:tr>
      <w:tr w:rsidR="00FA0D3B" w:rsidRPr="00FA0D3B" w14:paraId="55E50368"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0369F843" w14:textId="77777777" w:rsidR="00FA0D3B" w:rsidRPr="00FA0D3B" w:rsidRDefault="00FA0D3B" w:rsidP="00FA0D3B">
            <w:pPr>
              <w:spacing w:line="240" w:lineRule="auto"/>
              <w:rPr>
                <w:rFonts w:eastAsia="Times New Roman"/>
                <w:color w:val="000000"/>
              </w:rPr>
            </w:pPr>
            <w:r w:rsidRPr="00FA0D3B">
              <w:rPr>
                <w:rFonts w:eastAsia="Times New Roman"/>
                <w:color w:val="000000"/>
              </w:rPr>
              <w:t>White Male</w:t>
            </w:r>
          </w:p>
        </w:tc>
        <w:tc>
          <w:tcPr>
            <w:tcW w:w="1570" w:type="dxa"/>
            <w:tcBorders>
              <w:top w:val="nil"/>
              <w:left w:val="nil"/>
              <w:bottom w:val="nil"/>
              <w:right w:val="nil"/>
            </w:tcBorders>
            <w:shd w:val="clear" w:color="auto" w:fill="auto"/>
            <w:noWrap/>
            <w:vAlign w:val="bottom"/>
            <w:hideMark/>
          </w:tcPr>
          <w:p w14:paraId="1365D84B" w14:textId="2C97F0CF" w:rsidR="00FA0D3B" w:rsidRPr="00FA0D3B" w:rsidRDefault="00FA0D3B" w:rsidP="00FA0D3B">
            <w:pPr>
              <w:spacing w:line="240" w:lineRule="auto"/>
              <w:jc w:val="center"/>
              <w:rPr>
                <w:rFonts w:eastAsia="Times New Roman"/>
                <w:color w:val="000000"/>
              </w:rPr>
            </w:pPr>
            <w:r w:rsidRPr="00FA0D3B">
              <w:rPr>
                <w:rFonts w:eastAsia="Times New Roman"/>
                <w:color w:val="000000"/>
              </w:rPr>
              <w:t>-2.</w:t>
            </w:r>
            <w:r w:rsidR="0080149E">
              <w:rPr>
                <w:rFonts w:eastAsia="Times New Roman"/>
                <w:color w:val="000000"/>
              </w:rPr>
              <w:t>14</w:t>
            </w:r>
            <w:r w:rsidRPr="00FA0D3B">
              <w:rPr>
                <w:rFonts w:eastAsia="Times New Roman"/>
                <w:color w:val="000000"/>
              </w:rPr>
              <w:t xml:space="preserve"> (.</w:t>
            </w:r>
            <w:proofErr w:type="gramStart"/>
            <w:r w:rsidRPr="00FA0D3B">
              <w:rPr>
                <w:rFonts w:eastAsia="Times New Roman"/>
                <w:color w:val="000000"/>
              </w:rPr>
              <w:t>7</w:t>
            </w:r>
            <w:r w:rsidR="0080149E">
              <w:rPr>
                <w:rFonts w:eastAsia="Times New Roman"/>
                <w:color w:val="000000"/>
              </w:rPr>
              <w:t>7</w:t>
            </w:r>
            <w:r w:rsidRPr="00FA0D3B">
              <w:rPr>
                <w:rFonts w:eastAsia="Times New Roman"/>
                <w:color w:val="000000"/>
              </w:rPr>
              <w:t>)*</w:t>
            </w:r>
            <w:proofErr w:type="gramEnd"/>
            <w:r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45276054" w14:textId="395DA94B" w:rsidR="00FA0D3B" w:rsidRPr="00FA0D3B" w:rsidRDefault="00FA0D3B" w:rsidP="00FA0D3B">
            <w:pPr>
              <w:spacing w:line="240" w:lineRule="auto"/>
              <w:jc w:val="center"/>
              <w:rPr>
                <w:rFonts w:eastAsia="Times New Roman"/>
                <w:color w:val="000000"/>
              </w:rPr>
            </w:pPr>
            <w:r w:rsidRPr="00FA0D3B">
              <w:rPr>
                <w:rFonts w:eastAsia="Times New Roman"/>
                <w:color w:val="000000"/>
              </w:rPr>
              <w:t>-1.0</w:t>
            </w:r>
            <w:r w:rsidR="0080149E">
              <w:rPr>
                <w:rFonts w:eastAsia="Times New Roman"/>
                <w:color w:val="000000"/>
              </w:rPr>
              <w:t>5</w:t>
            </w:r>
            <w:r w:rsidRPr="00FA0D3B">
              <w:rPr>
                <w:rFonts w:eastAsia="Times New Roman"/>
                <w:color w:val="000000"/>
              </w:rPr>
              <w:t xml:space="preserve"> (.</w:t>
            </w:r>
            <w:proofErr w:type="gramStart"/>
            <w:r w:rsidRPr="00FA0D3B">
              <w:rPr>
                <w:rFonts w:eastAsia="Times New Roman"/>
                <w:color w:val="000000"/>
              </w:rPr>
              <w:t>4</w:t>
            </w:r>
            <w:r w:rsidR="0080149E">
              <w:rPr>
                <w:rFonts w:eastAsia="Times New Roman"/>
                <w:color w:val="000000"/>
              </w:rPr>
              <w:t>6</w:t>
            </w:r>
            <w:r w:rsidRPr="00FA0D3B">
              <w:rPr>
                <w:rFonts w:eastAsia="Times New Roman"/>
                <w:color w:val="000000"/>
              </w:rPr>
              <w:t>)*</w:t>
            </w:r>
            <w:proofErr w:type="gramEnd"/>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12A7615E" w14:textId="4BDFBCCE" w:rsidR="00FA0D3B" w:rsidRPr="00FA0D3B" w:rsidRDefault="00FA0D3B" w:rsidP="00FA0D3B">
            <w:pPr>
              <w:spacing w:line="240" w:lineRule="auto"/>
              <w:jc w:val="center"/>
              <w:rPr>
                <w:rFonts w:eastAsia="Times New Roman"/>
                <w:color w:val="000000"/>
              </w:rPr>
            </w:pPr>
            <w:r w:rsidRPr="00FA0D3B">
              <w:rPr>
                <w:rFonts w:eastAsia="Times New Roman"/>
                <w:color w:val="000000"/>
              </w:rPr>
              <w:t>-1.1</w:t>
            </w:r>
            <w:r w:rsidR="0080149E">
              <w:rPr>
                <w:rFonts w:eastAsia="Times New Roman"/>
                <w:color w:val="000000"/>
              </w:rPr>
              <w:t>8</w:t>
            </w:r>
            <w:r w:rsidRPr="00FA0D3B">
              <w:rPr>
                <w:rFonts w:eastAsia="Times New Roman"/>
                <w:color w:val="000000"/>
              </w:rPr>
              <w:t xml:space="preserve"> (.</w:t>
            </w:r>
            <w:proofErr w:type="gramStart"/>
            <w:r w:rsidR="0080149E">
              <w:rPr>
                <w:rFonts w:eastAsia="Times New Roman"/>
                <w:color w:val="000000"/>
              </w:rPr>
              <w:t>50</w:t>
            </w:r>
            <w:r w:rsidRPr="00FA0D3B">
              <w:rPr>
                <w:rFonts w:eastAsia="Times New Roman"/>
                <w:color w:val="000000"/>
              </w:rPr>
              <w:t>)*</w:t>
            </w:r>
            <w:proofErr w:type="gramEnd"/>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3A4F0760" w14:textId="615B0054" w:rsidR="00FA0D3B" w:rsidRPr="00FA0D3B" w:rsidRDefault="00FA0D3B" w:rsidP="00FA0D3B">
            <w:pPr>
              <w:spacing w:line="240" w:lineRule="auto"/>
              <w:jc w:val="center"/>
              <w:rPr>
                <w:rFonts w:eastAsia="Times New Roman"/>
                <w:color w:val="000000"/>
              </w:rPr>
            </w:pPr>
            <w:r w:rsidRPr="00FA0D3B">
              <w:rPr>
                <w:rFonts w:eastAsia="Times New Roman"/>
                <w:color w:val="000000"/>
              </w:rPr>
              <w:t>-1.0</w:t>
            </w:r>
            <w:r w:rsidR="0080149E">
              <w:rPr>
                <w:rFonts w:eastAsia="Times New Roman"/>
                <w:color w:val="000000"/>
              </w:rPr>
              <w:t>6</w:t>
            </w:r>
            <w:r w:rsidRPr="00FA0D3B">
              <w:rPr>
                <w:rFonts w:eastAsia="Times New Roman"/>
                <w:color w:val="000000"/>
              </w:rPr>
              <w:t xml:space="preserve"> (.</w:t>
            </w:r>
            <w:proofErr w:type="gramStart"/>
            <w:r w:rsidRPr="00FA0D3B">
              <w:rPr>
                <w:rFonts w:eastAsia="Times New Roman"/>
                <w:color w:val="000000"/>
              </w:rPr>
              <w:t>47)*</w:t>
            </w:r>
            <w:proofErr w:type="gramEnd"/>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04DAB882" w14:textId="7B287A04" w:rsidR="00FA0D3B" w:rsidRPr="00FA0D3B" w:rsidRDefault="00FA0D3B" w:rsidP="00FA0D3B">
            <w:pPr>
              <w:spacing w:line="240" w:lineRule="auto"/>
              <w:jc w:val="center"/>
              <w:rPr>
                <w:rFonts w:eastAsia="Times New Roman"/>
                <w:color w:val="000000"/>
              </w:rPr>
            </w:pPr>
            <w:r w:rsidRPr="00FA0D3B">
              <w:rPr>
                <w:rFonts w:eastAsia="Times New Roman"/>
                <w:color w:val="000000"/>
              </w:rPr>
              <w:t>-0.9</w:t>
            </w:r>
            <w:r w:rsidR="002331FD">
              <w:rPr>
                <w:rFonts w:eastAsia="Times New Roman"/>
                <w:color w:val="000000"/>
              </w:rPr>
              <w:t>5</w:t>
            </w:r>
            <w:r w:rsidRPr="00FA0D3B">
              <w:rPr>
                <w:rFonts w:eastAsia="Times New Roman"/>
                <w:color w:val="000000"/>
              </w:rPr>
              <w:t xml:space="preserve"> (.</w:t>
            </w:r>
            <w:proofErr w:type="gramStart"/>
            <w:r w:rsidRPr="00FA0D3B">
              <w:rPr>
                <w:rFonts w:eastAsia="Times New Roman"/>
                <w:color w:val="000000"/>
              </w:rPr>
              <w:t>55)*</w:t>
            </w:r>
            <w:proofErr w:type="gramEnd"/>
          </w:p>
        </w:tc>
      </w:tr>
      <w:tr w:rsidR="00FA0D3B" w:rsidRPr="00FA0D3B" w14:paraId="5A198D8E"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4DC07EC1" w14:textId="77777777" w:rsidR="00FA0D3B" w:rsidRPr="00FA0D3B" w:rsidRDefault="00FA0D3B" w:rsidP="00FA0D3B">
            <w:pPr>
              <w:spacing w:line="240" w:lineRule="auto"/>
              <w:rPr>
                <w:rFonts w:eastAsia="Times New Roman"/>
                <w:color w:val="000000"/>
              </w:rPr>
            </w:pPr>
            <w:r w:rsidRPr="00FA0D3B">
              <w:rPr>
                <w:rFonts w:eastAsia="Times New Roman"/>
                <w:color w:val="000000"/>
              </w:rPr>
              <w:t>Ideological Dist.</w:t>
            </w:r>
          </w:p>
        </w:tc>
        <w:tc>
          <w:tcPr>
            <w:tcW w:w="1570" w:type="dxa"/>
            <w:tcBorders>
              <w:top w:val="nil"/>
              <w:left w:val="nil"/>
              <w:bottom w:val="nil"/>
              <w:right w:val="nil"/>
            </w:tcBorders>
            <w:shd w:val="clear" w:color="auto" w:fill="auto"/>
            <w:noWrap/>
            <w:vAlign w:val="bottom"/>
            <w:hideMark/>
          </w:tcPr>
          <w:p w14:paraId="6CCB8103" w14:textId="0FE84F4C" w:rsidR="00FA0D3B" w:rsidRPr="00FA0D3B" w:rsidRDefault="00FA0D3B" w:rsidP="00FA0D3B">
            <w:pPr>
              <w:spacing w:line="240" w:lineRule="auto"/>
              <w:jc w:val="center"/>
              <w:rPr>
                <w:rFonts w:eastAsia="Times New Roman"/>
                <w:color w:val="000000"/>
              </w:rPr>
            </w:pPr>
            <w:r w:rsidRPr="00FA0D3B">
              <w:rPr>
                <w:rFonts w:eastAsia="Times New Roman"/>
                <w:color w:val="000000"/>
              </w:rPr>
              <w:t>-1.</w:t>
            </w:r>
            <w:r w:rsidR="0080149E">
              <w:rPr>
                <w:rFonts w:eastAsia="Times New Roman"/>
                <w:color w:val="000000"/>
              </w:rPr>
              <w:t>84</w:t>
            </w:r>
            <w:r w:rsidRPr="00FA0D3B">
              <w:rPr>
                <w:rFonts w:eastAsia="Times New Roman"/>
                <w:color w:val="000000"/>
              </w:rPr>
              <w:t xml:space="preserve"> (</w:t>
            </w:r>
            <w:proofErr w:type="gramStart"/>
            <w:r w:rsidRPr="00FA0D3B">
              <w:rPr>
                <w:rFonts w:eastAsia="Times New Roman"/>
                <w:color w:val="000000"/>
              </w:rPr>
              <w:t>1.0</w:t>
            </w:r>
            <w:r w:rsidR="0080149E">
              <w:rPr>
                <w:rFonts w:eastAsia="Times New Roman"/>
                <w:color w:val="000000"/>
              </w:rPr>
              <w:t>8</w:t>
            </w:r>
            <w:r w:rsidRPr="00FA0D3B">
              <w:rPr>
                <w:rFonts w:eastAsia="Times New Roman"/>
                <w:color w:val="000000"/>
              </w:rPr>
              <w:t>)</w:t>
            </w:r>
            <w:r w:rsidR="0080149E">
              <w:rPr>
                <w:rFonts w:eastAsia="Times New Roman"/>
                <w:color w:val="000000"/>
              </w:rPr>
              <w:t>*</w:t>
            </w:r>
            <w:proofErr w:type="gramEnd"/>
          </w:p>
        </w:tc>
        <w:tc>
          <w:tcPr>
            <w:tcW w:w="1710" w:type="dxa"/>
            <w:tcBorders>
              <w:top w:val="nil"/>
              <w:left w:val="nil"/>
              <w:bottom w:val="nil"/>
              <w:right w:val="nil"/>
            </w:tcBorders>
            <w:shd w:val="clear" w:color="auto" w:fill="auto"/>
            <w:noWrap/>
            <w:vAlign w:val="bottom"/>
            <w:hideMark/>
          </w:tcPr>
          <w:p w14:paraId="56213431" w14:textId="77BF967B" w:rsidR="00FA0D3B" w:rsidRPr="00FA0D3B" w:rsidRDefault="00FA0D3B" w:rsidP="00FA0D3B">
            <w:pPr>
              <w:spacing w:line="240" w:lineRule="auto"/>
              <w:jc w:val="center"/>
              <w:rPr>
                <w:rFonts w:eastAsia="Times New Roman"/>
                <w:color w:val="000000"/>
              </w:rPr>
            </w:pPr>
            <w:r w:rsidRPr="00FA0D3B">
              <w:rPr>
                <w:rFonts w:eastAsia="Times New Roman"/>
                <w:color w:val="000000"/>
              </w:rPr>
              <w:t>0.1</w:t>
            </w:r>
            <w:r w:rsidR="0080149E">
              <w:rPr>
                <w:rFonts w:eastAsia="Times New Roman"/>
                <w:color w:val="000000"/>
              </w:rPr>
              <w:t>2</w:t>
            </w:r>
            <w:r w:rsidRPr="00FA0D3B">
              <w:rPr>
                <w:rFonts w:eastAsia="Times New Roman"/>
                <w:color w:val="000000"/>
              </w:rPr>
              <w:t xml:space="preserve"> (.8</w:t>
            </w:r>
            <w:r w:rsidR="0080149E">
              <w:rPr>
                <w:rFonts w:eastAsia="Times New Roman"/>
                <w:color w:val="000000"/>
              </w:rPr>
              <w:t>9</w:t>
            </w:r>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52DC2F6A" w14:textId="7D6C9C6C" w:rsidR="00FA0D3B" w:rsidRPr="00FA0D3B" w:rsidRDefault="00FA0D3B" w:rsidP="00FA0D3B">
            <w:pPr>
              <w:spacing w:line="240" w:lineRule="auto"/>
              <w:jc w:val="center"/>
              <w:rPr>
                <w:rFonts w:eastAsia="Times New Roman"/>
                <w:color w:val="000000"/>
              </w:rPr>
            </w:pPr>
            <w:r w:rsidRPr="00FA0D3B">
              <w:rPr>
                <w:rFonts w:eastAsia="Times New Roman"/>
                <w:color w:val="000000"/>
              </w:rPr>
              <w:t>0.1</w:t>
            </w:r>
            <w:r w:rsidR="0080149E">
              <w:rPr>
                <w:rFonts w:eastAsia="Times New Roman"/>
                <w:color w:val="000000"/>
              </w:rPr>
              <w:t>1</w:t>
            </w:r>
            <w:r w:rsidRPr="00FA0D3B">
              <w:rPr>
                <w:rFonts w:eastAsia="Times New Roman"/>
                <w:color w:val="000000"/>
              </w:rPr>
              <w:t xml:space="preserve"> (.8</w:t>
            </w:r>
            <w:r w:rsidR="0080149E">
              <w:rPr>
                <w:rFonts w:eastAsia="Times New Roman"/>
                <w:color w:val="000000"/>
              </w:rPr>
              <w:t>9</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6413D9C3" w14:textId="57CDC1E1"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13</w:t>
            </w:r>
            <w:r w:rsidRPr="00FA0D3B">
              <w:rPr>
                <w:rFonts w:eastAsia="Times New Roman"/>
                <w:color w:val="000000"/>
              </w:rPr>
              <w:t xml:space="preserve"> (.8</w:t>
            </w:r>
            <w:r w:rsidR="0080149E">
              <w:rPr>
                <w:rFonts w:eastAsia="Times New Roman"/>
                <w:color w:val="000000"/>
              </w:rPr>
              <w:t>9</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6895E907" w14:textId="3BB15488" w:rsidR="00FA0D3B" w:rsidRPr="00FA0D3B" w:rsidRDefault="00FA0D3B" w:rsidP="00FA0D3B">
            <w:pPr>
              <w:spacing w:line="240" w:lineRule="auto"/>
              <w:jc w:val="center"/>
              <w:rPr>
                <w:rFonts w:eastAsia="Times New Roman"/>
                <w:color w:val="000000"/>
              </w:rPr>
            </w:pPr>
            <w:r w:rsidRPr="00FA0D3B">
              <w:rPr>
                <w:rFonts w:eastAsia="Times New Roman"/>
                <w:color w:val="000000"/>
              </w:rPr>
              <w:t>0.1</w:t>
            </w:r>
            <w:r w:rsidR="002331FD">
              <w:rPr>
                <w:rFonts w:eastAsia="Times New Roman"/>
                <w:color w:val="000000"/>
              </w:rPr>
              <w:t>3</w:t>
            </w:r>
            <w:r w:rsidRPr="00FA0D3B">
              <w:rPr>
                <w:rFonts w:eastAsia="Times New Roman"/>
                <w:color w:val="000000"/>
              </w:rPr>
              <w:t xml:space="preserve"> (.</w:t>
            </w:r>
            <w:r w:rsidR="002331FD">
              <w:rPr>
                <w:rFonts w:eastAsia="Times New Roman"/>
                <w:color w:val="000000"/>
              </w:rPr>
              <w:t>90</w:t>
            </w:r>
            <w:r w:rsidRPr="00FA0D3B">
              <w:rPr>
                <w:rFonts w:eastAsia="Times New Roman"/>
                <w:color w:val="000000"/>
              </w:rPr>
              <w:t>)</w:t>
            </w:r>
          </w:p>
        </w:tc>
      </w:tr>
      <w:tr w:rsidR="00FA0D3B" w:rsidRPr="00FA0D3B" w14:paraId="03D27138"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21585C86" w14:textId="77777777" w:rsidR="00FA0D3B" w:rsidRPr="00FA0D3B" w:rsidRDefault="00FA0D3B" w:rsidP="00FA0D3B">
            <w:pPr>
              <w:spacing w:line="240" w:lineRule="auto"/>
              <w:rPr>
                <w:rFonts w:eastAsia="Times New Roman"/>
                <w:color w:val="000000"/>
              </w:rPr>
            </w:pPr>
            <w:r w:rsidRPr="00FA0D3B">
              <w:rPr>
                <w:rFonts w:eastAsia="Times New Roman"/>
                <w:color w:val="000000"/>
              </w:rPr>
              <w:t>Avg. Filings</w:t>
            </w:r>
          </w:p>
        </w:tc>
        <w:tc>
          <w:tcPr>
            <w:tcW w:w="1570" w:type="dxa"/>
            <w:tcBorders>
              <w:top w:val="nil"/>
              <w:left w:val="nil"/>
              <w:bottom w:val="nil"/>
              <w:right w:val="nil"/>
            </w:tcBorders>
            <w:shd w:val="clear" w:color="auto" w:fill="auto"/>
            <w:noWrap/>
            <w:vAlign w:val="bottom"/>
            <w:hideMark/>
          </w:tcPr>
          <w:p w14:paraId="55E255A6"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0.01 (.04)</w:t>
            </w:r>
          </w:p>
        </w:tc>
        <w:tc>
          <w:tcPr>
            <w:tcW w:w="1710" w:type="dxa"/>
            <w:tcBorders>
              <w:top w:val="nil"/>
              <w:left w:val="nil"/>
              <w:bottom w:val="nil"/>
              <w:right w:val="nil"/>
            </w:tcBorders>
            <w:shd w:val="clear" w:color="auto" w:fill="auto"/>
            <w:noWrap/>
            <w:vAlign w:val="bottom"/>
            <w:hideMark/>
          </w:tcPr>
          <w:p w14:paraId="66FC9A64" w14:textId="1D04C850" w:rsidR="00FA0D3B" w:rsidRPr="00FA0D3B" w:rsidRDefault="00FA0D3B" w:rsidP="00FA0D3B">
            <w:pPr>
              <w:spacing w:line="240" w:lineRule="auto"/>
              <w:jc w:val="center"/>
              <w:rPr>
                <w:rFonts w:eastAsia="Times New Roman"/>
                <w:color w:val="000000"/>
              </w:rPr>
            </w:pPr>
            <w:r w:rsidRPr="00FA0D3B">
              <w:rPr>
                <w:rFonts w:eastAsia="Times New Roman"/>
                <w:color w:val="000000"/>
              </w:rPr>
              <w:t>-0.0</w:t>
            </w:r>
            <w:r w:rsidR="0080149E">
              <w:rPr>
                <w:rFonts w:eastAsia="Times New Roman"/>
                <w:color w:val="000000"/>
              </w:rPr>
              <w:t>46</w:t>
            </w:r>
            <w:r w:rsidRPr="00FA0D3B">
              <w:rPr>
                <w:rFonts w:eastAsia="Times New Roman"/>
                <w:color w:val="000000"/>
              </w:rPr>
              <w:t xml:space="preserve"> (.19)</w:t>
            </w:r>
          </w:p>
        </w:tc>
        <w:tc>
          <w:tcPr>
            <w:tcW w:w="1620" w:type="dxa"/>
            <w:tcBorders>
              <w:top w:val="nil"/>
              <w:left w:val="nil"/>
              <w:bottom w:val="nil"/>
              <w:right w:val="nil"/>
            </w:tcBorders>
            <w:shd w:val="clear" w:color="auto" w:fill="auto"/>
            <w:noWrap/>
            <w:vAlign w:val="bottom"/>
            <w:hideMark/>
          </w:tcPr>
          <w:p w14:paraId="03BBED69" w14:textId="2A09451C" w:rsidR="00FA0D3B" w:rsidRPr="00FA0D3B" w:rsidRDefault="00FA0D3B" w:rsidP="00FA0D3B">
            <w:pPr>
              <w:spacing w:line="240" w:lineRule="auto"/>
              <w:jc w:val="center"/>
              <w:rPr>
                <w:rFonts w:eastAsia="Times New Roman"/>
                <w:color w:val="000000"/>
              </w:rPr>
            </w:pPr>
            <w:r w:rsidRPr="00FA0D3B">
              <w:rPr>
                <w:rFonts w:eastAsia="Times New Roman"/>
                <w:color w:val="000000"/>
              </w:rPr>
              <w:t>-0.00</w:t>
            </w:r>
            <w:r w:rsidR="0080149E">
              <w:rPr>
                <w:rFonts w:eastAsia="Times New Roman"/>
                <w:color w:val="000000"/>
              </w:rPr>
              <w:t>3</w:t>
            </w:r>
            <w:r w:rsidRPr="00FA0D3B">
              <w:rPr>
                <w:rFonts w:eastAsia="Times New Roman"/>
                <w:color w:val="000000"/>
              </w:rPr>
              <w:t xml:space="preserve"> (.04</w:t>
            </w:r>
            <w:r w:rsidR="0080149E">
              <w:rPr>
                <w:rFonts w:eastAsia="Times New Roman"/>
                <w:color w:val="000000"/>
              </w:rPr>
              <w:t>2</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5B8F8B04" w14:textId="40AD185E" w:rsidR="00FA0D3B" w:rsidRPr="00FA0D3B" w:rsidRDefault="00FA0D3B" w:rsidP="00FA0D3B">
            <w:pPr>
              <w:spacing w:line="240" w:lineRule="auto"/>
              <w:jc w:val="center"/>
              <w:rPr>
                <w:rFonts w:eastAsia="Times New Roman"/>
                <w:color w:val="000000"/>
              </w:rPr>
            </w:pPr>
            <w:r w:rsidRPr="00FA0D3B">
              <w:rPr>
                <w:rFonts w:eastAsia="Times New Roman"/>
                <w:color w:val="000000"/>
              </w:rPr>
              <w:t>-0.00</w:t>
            </w:r>
            <w:r w:rsidR="002331FD">
              <w:rPr>
                <w:rFonts w:eastAsia="Times New Roman"/>
                <w:color w:val="000000"/>
              </w:rPr>
              <w:t>3</w:t>
            </w:r>
            <w:r w:rsidRPr="00FA0D3B">
              <w:rPr>
                <w:rFonts w:eastAsia="Times New Roman"/>
                <w:color w:val="000000"/>
              </w:rPr>
              <w:t xml:space="preserve"> (.042)</w:t>
            </w:r>
          </w:p>
        </w:tc>
        <w:tc>
          <w:tcPr>
            <w:tcW w:w="1800" w:type="dxa"/>
            <w:tcBorders>
              <w:top w:val="nil"/>
              <w:left w:val="nil"/>
              <w:bottom w:val="nil"/>
              <w:right w:val="nil"/>
            </w:tcBorders>
            <w:shd w:val="clear" w:color="auto" w:fill="auto"/>
            <w:noWrap/>
            <w:vAlign w:val="bottom"/>
            <w:hideMark/>
          </w:tcPr>
          <w:p w14:paraId="2CD5094C" w14:textId="6B5AE602" w:rsidR="00FA0D3B" w:rsidRPr="00FA0D3B" w:rsidRDefault="00FA0D3B" w:rsidP="00FA0D3B">
            <w:pPr>
              <w:spacing w:line="240" w:lineRule="auto"/>
              <w:jc w:val="center"/>
              <w:rPr>
                <w:rFonts w:eastAsia="Times New Roman"/>
                <w:color w:val="000000"/>
              </w:rPr>
            </w:pPr>
            <w:r w:rsidRPr="00FA0D3B">
              <w:rPr>
                <w:rFonts w:eastAsia="Times New Roman"/>
                <w:color w:val="000000"/>
              </w:rPr>
              <w:t>-0.00</w:t>
            </w:r>
            <w:r w:rsidR="002331FD">
              <w:rPr>
                <w:rFonts w:eastAsia="Times New Roman"/>
                <w:color w:val="000000"/>
              </w:rPr>
              <w:t>0</w:t>
            </w:r>
            <w:r w:rsidRPr="00FA0D3B">
              <w:rPr>
                <w:rFonts w:eastAsia="Times New Roman"/>
                <w:color w:val="000000"/>
              </w:rPr>
              <w:t xml:space="preserve"> (.04</w:t>
            </w:r>
            <w:r w:rsidR="002331FD">
              <w:rPr>
                <w:rFonts w:eastAsia="Times New Roman"/>
                <w:color w:val="000000"/>
              </w:rPr>
              <w:t>2</w:t>
            </w:r>
            <w:r w:rsidRPr="00FA0D3B">
              <w:rPr>
                <w:rFonts w:eastAsia="Times New Roman"/>
                <w:color w:val="000000"/>
              </w:rPr>
              <w:t>)</w:t>
            </w:r>
          </w:p>
        </w:tc>
      </w:tr>
      <w:tr w:rsidR="00FA0D3B" w:rsidRPr="00FA0D3B" w14:paraId="54E10186"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3B4E2532" w14:textId="77777777" w:rsidR="00FA0D3B" w:rsidRPr="00FA0D3B" w:rsidRDefault="00FA0D3B" w:rsidP="00FA0D3B">
            <w:pPr>
              <w:spacing w:line="240" w:lineRule="auto"/>
              <w:rPr>
                <w:rFonts w:eastAsia="Times New Roman"/>
                <w:color w:val="000000"/>
              </w:rPr>
            </w:pPr>
            <w:r w:rsidRPr="00FA0D3B">
              <w:rPr>
                <w:rFonts w:eastAsia="Times New Roman"/>
                <w:color w:val="000000"/>
              </w:rPr>
              <w:t>Avg. Workhours</w:t>
            </w:r>
          </w:p>
        </w:tc>
        <w:tc>
          <w:tcPr>
            <w:tcW w:w="1570" w:type="dxa"/>
            <w:tcBorders>
              <w:top w:val="nil"/>
              <w:left w:val="nil"/>
              <w:bottom w:val="nil"/>
              <w:right w:val="nil"/>
            </w:tcBorders>
            <w:shd w:val="clear" w:color="auto" w:fill="auto"/>
            <w:noWrap/>
            <w:vAlign w:val="bottom"/>
            <w:hideMark/>
          </w:tcPr>
          <w:p w14:paraId="3FF5BD51"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0.011 (.</w:t>
            </w:r>
            <w:proofErr w:type="gramStart"/>
            <w:r w:rsidRPr="00FA0D3B">
              <w:rPr>
                <w:rFonts w:eastAsia="Times New Roman"/>
                <w:color w:val="000000"/>
              </w:rPr>
              <w:t>006)*</w:t>
            </w:r>
            <w:proofErr w:type="gramEnd"/>
          </w:p>
        </w:tc>
        <w:tc>
          <w:tcPr>
            <w:tcW w:w="1710" w:type="dxa"/>
            <w:tcBorders>
              <w:top w:val="nil"/>
              <w:left w:val="nil"/>
              <w:bottom w:val="nil"/>
              <w:right w:val="nil"/>
            </w:tcBorders>
            <w:shd w:val="clear" w:color="auto" w:fill="auto"/>
            <w:noWrap/>
            <w:vAlign w:val="bottom"/>
            <w:hideMark/>
          </w:tcPr>
          <w:p w14:paraId="516C9136" w14:textId="1936B817" w:rsidR="00FA0D3B" w:rsidRPr="00FA0D3B" w:rsidRDefault="00FA0D3B" w:rsidP="00FA0D3B">
            <w:pPr>
              <w:spacing w:line="240" w:lineRule="auto"/>
              <w:jc w:val="center"/>
              <w:rPr>
                <w:rFonts w:eastAsia="Times New Roman"/>
                <w:color w:val="000000"/>
              </w:rPr>
            </w:pPr>
            <w:r w:rsidRPr="00FA0D3B">
              <w:rPr>
                <w:rFonts w:eastAsia="Times New Roman"/>
                <w:color w:val="000000"/>
              </w:rPr>
              <w:t>0.01</w:t>
            </w:r>
            <w:r w:rsidR="0080149E">
              <w:rPr>
                <w:rFonts w:eastAsia="Times New Roman"/>
                <w:color w:val="000000"/>
              </w:rPr>
              <w:t>3</w:t>
            </w:r>
            <w:r w:rsidRPr="00FA0D3B">
              <w:rPr>
                <w:rFonts w:eastAsia="Times New Roman"/>
                <w:color w:val="000000"/>
              </w:rPr>
              <w:t xml:space="preserve"> (.</w:t>
            </w:r>
            <w:proofErr w:type="gramStart"/>
            <w:r w:rsidRPr="00FA0D3B">
              <w:rPr>
                <w:rFonts w:eastAsia="Times New Roman"/>
                <w:color w:val="000000"/>
              </w:rPr>
              <w:t>005)*</w:t>
            </w:r>
            <w:proofErr w:type="gramEnd"/>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4D0B94B7"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0.007 (.005)</w:t>
            </w:r>
          </w:p>
        </w:tc>
        <w:tc>
          <w:tcPr>
            <w:tcW w:w="1800" w:type="dxa"/>
            <w:tcBorders>
              <w:top w:val="nil"/>
              <w:left w:val="nil"/>
              <w:bottom w:val="nil"/>
              <w:right w:val="nil"/>
            </w:tcBorders>
            <w:shd w:val="clear" w:color="auto" w:fill="auto"/>
            <w:noWrap/>
            <w:vAlign w:val="bottom"/>
            <w:hideMark/>
          </w:tcPr>
          <w:p w14:paraId="505510F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0.013 (.</w:t>
            </w:r>
            <w:proofErr w:type="gramStart"/>
            <w:r w:rsidRPr="00FA0D3B">
              <w:rPr>
                <w:rFonts w:eastAsia="Times New Roman"/>
                <w:color w:val="000000"/>
              </w:rPr>
              <w:t>006)*</w:t>
            </w:r>
            <w:proofErr w:type="gramEnd"/>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6A7991F3" w14:textId="63410A6B" w:rsidR="00FA0D3B" w:rsidRPr="00FA0D3B" w:rsidRDefault="00FA0D3B" w:rsidP="00FA0D3B">
            <w:pPr>
              <w:spacing w:line="240" w:lineRule="auto"/>
              <w:jc w:val="center"/>
              <w:rPr>
                <w:rFonts w:eastAsia="Times New Roman"/>
                <w:color w:val="000000"/>
              </w:rPr>
            </w:pPr>
            <w:r w:rsidRPr="00FA0D3B">
              <w:rPr>
                <w:rFonts w:eastAsia="Times New Roman"/>
                <w:color w:val="000000"/>
              </w:rPr>
              <w:t>0.01</w:t>
            </w:r>
            <w:r w:rsidR="002331FD">
              <w:rPr>
                <w:rFonts w:eastAsia="Times New Roman"/>
                <w:color w:val="000000"/>
              </w:rPr>
              <w:t>3</w:t>
            </w:r>
            <w:r w:rsidRPr="00FA0D3B">
              <w:rPr>
                <w:rFonts w:eastAsia="Times New Roman"/>
                <w:color w:val="000000"/>
              </w:rPr>
              <w:t xml:space="preserve"> (.</w:t>
            </w:r>
            <w:proofErr w:type="gramStart"/>
            <w:r w:rsidRPr="00FA0D3B">
              <w:rPr>
                <w:rFonts w:eastAsia="Times New Roman"/>
                <w:color w:val="000000"/>
              </w:rPr>
              <w:t>005)*</w:t>
            </w:r>
            <w:proofErr w:type="gramEnd"/>
            <w:r w:rsidRPr="00FA0D3B">
              <w:rPr>
                <w:rFonts w:eastAsia="Times New Roman"/>
                <w:color w:val="000000"/>
              </w:rPr>
              <w:t>*</w:t>
            </w:r>
          </w:p>
        </w:tc>
      </w:tr>
      <w:tr w:rsidR="00FA0D3B" w:rsidRPr="00FA0D3B" w14:paraId="4E352507"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5704613F" w14:textId="77777777" w:rsidR="00FA0D3B" w:rsidRPr="00FA0D3B" w:rsidRDefault="00FA0D3B" w:rsidP="00FA0D3B">
            <w:pPr>
              <w:spacing w:line="240" w:lineRule="auto"/>
              <w:rPr>
                <w:rFonts w:eastAsia="Times New Roman"/>
                <w:color w:val="000000"/>
              </w:rPr>
            </w:pPr>
            <w:r w:rsidRPr="00FA0D3B">
              <w:rPr>
                <w:rFonts w:eastAsia="Times New Roman"/>
                <w:color w:val="000000"/>
              </w:rPr>
              <w:t>Top 15 Law School</w:t>
            </w:r>
          </w:p>
        </w:tc>
        <w:tc>
          <w:tcPr>
            <w:tcW w:w="1570" w:type="dxa"/>
            <w:tcBorders>
              <w:top w:val="nil"/>
              <w:left w:val="nil"/>
              <w:bottom w:val="nil"/>
              <w:right w:val="nil"/>
            </w:tcBorders>
            <w:shd w:val="clear" w:color="auto" w:fill="auto"/>
            <w:noWrap/>
            <w:vAlign w:val="bottom"/>
            <w:hideMark/>
          </w:tcPr>
          <w:p w14:paraId="5E13997B" w14:textId="286297BF"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64</w:t>
            </w:r>
            <w:r w:rsidRPr="00FA0D3B">
              <w:rPr>
                <w:rFonts w:eastAsia="Times New Roman"/>
                <w:color w:val="000000"/>
              </w:rPr>
              <w:t xml:space="preserve"> (.4</w:t>
            </w:r>
            <w:r w:rsidR="0080149E">
              <w:rPr>
                <w:rFonts w:eastAsia="Times New Roman"/>
                <w:color w:val="000000"/>
              </w:rPr>
              <w:t>9</w:t>
            </w:r>
            <w:r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30F3FD98" w14:textId="45319295"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67</w:t>
            </w:r>
            <w:r w:rsidRPr="00FA0D3B">
              <w:rPr>
                <w:rFonts w:eastAsia="Times New Roman"/>
                <w:color w:val="000000"/>
              </w:rPr>
              <w:t xml:space="preserve"> (.4</w:t>
            </w:r>
            <w:r w:rsidR="0080149E">
              <w:rPr>
                <w:rFonts w:eastAsia="Times New Roman"/>
                <w:color w:val="000000"/>
              </w:rPr>
              <w:t>9</w:t>
            </w:r>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1B547801" w14:textId="0CAFFC00"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70</w:t>
            </w:r>
            <w:r w:rsidR="0080149E" w:rsidRPr="00FA0D3B">
              <w:rPr>
                <w:rFonts w:eastAsia="Times New Roman"/>
                <w:color w:val="000000"/>
              </w:rPr>
              <w:t xml:space="preserve"> </w:t>
            </w:r>
            <w:r w:rsidRPr="00FA0D3B">
              <w:rPr>
                <w:rFonts w:eastAsia="Times New Roman"/>
                <w:color w:val="000000"/>
              </w:rPr>
              <w:t>(.4</w:t>
            </w:r>
            <w:r w:rsidR="0080149E">
              <w:rPr>
                <w:rFonts w:eastAsia="Times New Roman"/>
                <w:color w:val="000000"/>
              </w:rPr>
              <w:t>9</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128C724B" w14:textId="3719ED6B"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2331FD">
              <w:rPr>
                <w:rFonts w:eastAsia="Times New Roman"/>
                <w:color w:val="000000"/>
              </w:rPr>
              <w:t>93</w:t>
            </w:r>
            <w:r w:rsidRPr="00FA0D3B">
              <w:rPr>
                <w:rFonts w:eastAsia="Times New Roman"/>
                <w:color w:val="000000"/>
              </w:rPr>
              <w:t xml:space="preserve"> (.7</w:t>
            </w:r>
            <w:r w:rsidR="002331FD">
              <w:rPr>
                <w:rFonts w:eastAsia="Times New Roman"/>
                <w:color w:val="000000"/>
              </w:rPr>
              <w:t>2</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31095601" w14:textId="7666FF3B"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2331FD">
              <w:rPr>
                <w:rFonts w:eastAsia="Times New Roman"/>
                <w:color w:val="000000"/>
              </w:rPr>
              <w:t>67</w:t>
            </w:r>
            <w:r w:rsidRPr="00FA0D3B">
              <w:rPr>
                <w:rFonts w:eastAsia="Times New Roman"/>
                <w:color w:val="000000"/>
              </w:rPr>
              <w:t xml:space="preserve"> (.4</w:t>
            </w:r>
            <w:r w:rsidR="002331FD">
              <w:rPr>
                <w:rFonts w:eastAsia="Times New Roman"/>
                <w:color w:val="000000"/>
              </w:rPr>
              <w:t>9</w:t>
            </w:r>
            <w:r w:rsidRPr="00FA0D3B">
              <w:rPr>
                <w:rFonts w:eastAsia="Times New Roman"/>
                <w:color w:val="000000"/>
              </w:rPr>
              <w:t>)</w:t>
            </w:r>
          </w:p>
        </w:tc>
      </w:tr>
      <w:tr w:rsidR="00FA0D3B" w:rsidRPr="00FA0D3B" w14:paraId="1BF31D41"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67DA4E04" w14:textId="77777777" w:rsidR="00FA0D3B" w:rsidRPr="00FA0D3B" w:rsidRDefault="00FA0D3B" w:rsidP="00FA0D3B">
            <w:pPr>
              <w:spacing w:line="240" w:lineRule="auto"/>
              <w:rPr>
                <w:rFonts w:eastAsia="Times New Roman"/>
                <w:color w:val="000000"/>
              </w:rPr>
            </w:pPr>
            <w:r w:rsidRPr="00FA0D3B">
              <w:rPr>
                <w:rFonts w:eastAsia="Times New Roman"/>
                <w:color w:val="000000"/>
              </w:rPr>
              <w:t>Dem. Pres. Appt.</w:t>
            </w:r>
          </w:p>
        </w:tc>
        <w:tc>
          <w:tcPr>
            <w:tcW w:w="1570" w:type="dxa"/>
            <w:tcBorders>
              <w:top w:val="nil"/>
              <w:left w:val="nil"/>
              <w:bottom w:val="nil"/>
              <w:right w:val="nil"/>
            </w:tcBorders>
            <w:shd w:val="clear" w:color="auto" w:fill="auto"/>
            <w:noWrap/>
            <w:vAlign w:val="bottom"/>
            <w:hideMark/>
          </w:tcPr>
          <w:p w14:paraId="3CEFCC71" w14:textId="6E0EFFC6"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7</w:t>
            </w:r>
            <w:r w:rsidR="0080149E" w:rsidRPr="00FA0D3B">
              <w:rPr>
                <w:rFonts w:eastAsia="Times New Roman"/>
                <w:color w:val="000000"/>
              </w:rPr>
              <w:t xml:space="preserve">7 </w:t>
            </w:r>
            <w:r w:rsidRPr="00FA0D3B">
              <w:rPr>
                <w:rFonts w:eastAsia="Times New Roman"/>
                <w:color w:val="000000"/>
              </w:rPr>
              <w:t>(.</w:t>
            </w:r>
            <w:proofErr w:type="gramStart"/>
            <w:r w:rsidRPr="00FA0D3B">
              <w:rPr>
                <w:rFonts w:eastAsia="Times New Roman"/>
                <w:color w:val="000000"/>
              </w:rPr>
              <w:t>4</w:t>
            </w:r>
            <w:r w:rsidR="0080149E">
              <w:rPr>
                <w:rFonts w:eastAsia="Times New Roman"/>
                <w:color w:val="000000"/>
              </w:rPr>
              <w:t>1</w:t>
            </w:r>
            <w:r w:rsidRPr="00FA0D3B">
              <w:rPr>
                <w:rFonts w:eastAsia="Times New Roman"/>
                <w:color w:val="000000"/>
              </w:rPr>
              <w:t>)*</w:t>
            </w:r>
            <w:proofErr w:type="gramEnd"/>
          </w:p>
        </w:tc>
        <w:tc>
          <w:tcPr>
            <w:tcW w:w="1710" w:type="dxa"/>
            <w:tcBorders>
              <w:top w:val="nil"/>
              <w:left w:val="nil"/>
              <w:bottom w:val="nil"/>
              <w:right w:val="nil"/>
            </w:tcBorders>
            <w:shd w:val="clear" w:color="auto" w:fill="auto"/>
            <w:noWrap/>
            <w:vAlign w:val="bottom"/>
            <w:hideMark/>
          </w:tcPr>
          <w:p w14:paraId="5682CE7C" w14:textId="5077514E"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50</w:t>
            </w:r>
            <w:r w:rsidRPr="00FA0D3B">
              <w:rPr>
                <w:rFonts w:eastAsia="Times New Roman"/>
                <w:color w:val="000000"/>
              </w:rPr>
              <w:t xml:space="preserve"> (.38)</w:t>
            </w:r>
          </w:p>
        </w:tc>
        <w:tc>
          <w:tcPr>
            <w:tcW w:w="1620" w:type="dxa"/>
            <w:tcBorders>
              <w:top w:val="nil"/>
              <w:left w:val="nil"/>
              <w:bottom w:val="nil"/>
              <w:right w:val="nil"/>
            </w:tcBorders>
            <w:shd w:val="clear" w:color="auto" w:fill="auto"/>
            <w:noWrap/>
            <w:vAlign w:val="bottom"/>
            <w:hideMark/>
          </w:tcPr>
          <w:p w14:paraId="7338572A" w14:textId="0C76F947"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51</w:t>
            </w:r>
            <w:r w:rsidRPr="00FA0D3B">
              <w:rPr>
                <w:rFonts w:eastAsia="Times New Roman"/>
                <w:color w:val="000000"/>
              </w:rPr>
              <w:t xml:space="preserve"> (.38)</w:t>
            </w:r>
          </w:p>
        </w:tc>
        <w:tc>
          <w:tcPr>
            <w:tcW w:w="1800" w:type="dxa"/>
            <w:tcBorders>
              <w:top w:val="nil"/>
              <w:left w:val="nil"/>
              <w:bottom w:val="nil"/>
              <w:right w:val="nil"/>
            </w:tcBorders>
            <w:shd w:val="clear" w:color="auto" w:fill="auto"/>
            <w:noWrap/>
            <w:vAlign w:val="bottom"/>
            <w:hideMark/>
          </w:tcPr>
          <w:p w14:paraId="5374EA95" w14:textId="4EFF6D25"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2331FD">
              <w:rPr>
                <w:rFonts w:eastAsia="Times New Roman"/>
                <w:color w:val="000000"/>
              </w:rPr>
              <w:t>51</w:t>
            </w:r>
            <w:r w:rsidRPr="00FA0D3B">
              <w:rPr>
                <w:rFonts w:eastAsia="Times New Roman"/>
                <w:color w:val="000000"/>
              </w:rPr>
              <w:t xml:space="preserve"> (.38)</w:t>
            </w:r>
          </w:p>
        </w:tc>
        <w:tc>
          <w:tcPr>
            <w:tcW w:w="1800" w:type="dxa"/>
            <w:tcBorders>
              <w:top w:val="nil"/>
              <w:left w:val="nil"/>
              <w:bottom w:val="nil"/>
              <w:right w:val="nil"/>
            </w:tcBorders>
            <w:shd w:val="clear" w:color="auto" w:fill="auto"/>
            <w:noWrap/>
            <w:vAlign w:val="bottom"/>
            <w:hideMark/>
          </w:tcPr>
          <w:p w14:paraId="47582793" w14:textId="189EC3C5" w:rsidR="00FA0D3B" w:rsidRPr="00FA0D3B" w:rsidRDefault="00FA0D3B" w:rsidP="00FA0D3B">
            <w:pPr>
              <w:spacing w:line="240" w:lineRule="auto"/>
              <w:jc w:val="center"/>
              <w:rPr>
                <w:rFonts w:eastAsia="Times New Roman"/>
                <w:color w:val="000000"/>
              </w:rPr>
            </w:pPr>
            <w:r w:rsidRPr="00FA0D3B">
              <w:rPr>
                <w:rFonts w:eastAsia="Times New Roman"/>
                <w:color w:val="000000"/>
              </w:rPr>
              <w:t>-0.4</w:t>
            </w:r>
            <w:r w:rsidR="002331FD">
              <w:rPr>
                <w:rFonts w:eastAsia="Times New Roman"/>
                <w:color w:val="000000"/>
              </w:rPr>
              <w:t>6</w:t>
            </w:r>
            <w:r w:rsidRPr="00FA0D3B">
              <w:rPr>
                <w:rFonts w:eastAsia="Times New Roman"/>
                <w:color w:val="000000"/>
              </w:rPr>
              <w:t xml:space="preserve"> (.5</w:t>
            </w:r>
            <w:r w:rsidR="002331FD">
              <w:rPr>
                <w:rFonts w:eastAsia="Times New Roman"/>
                <w:color w:val="000000"/>
              </w:rPr>
              <w:t>6</w:t>
            </w:r>
            <w:r w:rsidRPr="00FA0D3B">
              <w:rPr>
                <w:rFonts w:eastAsia="Times New Roman"/>
                <w:color w:val="000000"/>
              </w:rPr>
              <w:t>)</w:t>
            </w:r>
          </w:p>
        </w:tc>
      </w:tr>
      <w:tr w:rsidR="00FA0D3B" w:rsidRPr="00FA0D3B" w14:paraId="418DA609"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58B5FAD6" w14:textId="77777777" w:rsidR="00FA0D3B" w:rsidRPr="00FA0D3B" w:rsidRDefault="00FA0D3B" w:rsidP="00FA0D3B">
            <w:pPr>
              <w:spacing w:line="240" w:lineRule="auto"/>
              <w:rPr>
                <w:rFonts w:eastAsia="Times New Roman"/>
                <w:color w:val="000000"/>
              </w:rPr>
            </w:pPr>
            <w:r w:rsidRPr="00FA0D3B">
              <w:rPr>
                <w:rFonts w:eastAsia="Times New Roman"/>
                <w:color w:val="000000"/>
              </w:rPr>
              <w:t xml:space="preserve">WM * </w:t>
            </w:r>
            <w:proofErr w:type="spellStart"/>
            <w:r w:rsidRPr="00FA0D3B">
              <w:rPr>
                <w:rFonts w:eastAsia="Times New Roman"/>
                <w:color w:val="000000"/>
              </w:rPr>
              <w:t>Ideo</w:t>
            </w:r>
            <w:proofErr w:type="spellEnd"/>
            <w:r w:rsidRPr="00FA0D3B">
              <w:rPr>
                <w:rFonts w:eastAsia="Times New Roman"/>
                <w:color w:val="000000"/>
              </w:rPr>
              <w:t xml:space="preserve">. </w:t>
            </w:r>
            <w:proofErr w:type="spellStart"/>
            <w:r w:rsidRPr="00FA0D3B">
              <w:rPr>
                <w:rFonts w:eastAsia="Times New Roman"/>
                <w:color w:val="000000"/>
              </w:rPr>
              <w:t>Dist</w:t>
            </w:r>
            <w:proofErr w:type="spellEnd"/>
          </w:p>
        </w:tc>
        <w:tc>
          <w:tcPr>
            <w:tcW w:w="1570" w:type="dxa"/>
            <w:tcBorders>
              <w:top w:val="nil"/>
              <w:left w:val="nil"/>
              <w:bottom w:val="nil"/>
              <w:right w:val="nil"/>
            </w:tcBorders>
            <w:shd w:val="clear" w:color="auto" w:fill="auto"/>
            <w:noWrap/>
            <w:vAlign w:val="bottom"/>
            <w:hideMark/>
          </w:tcPr>
          <w:p w14:paraId="5864D4BC" w14:textId="48EBBFF7" w:rsidR="00FA0D3B" w:rsidRPr="00FA0D3B" w:rsidRDefault="0080149E" w:rsidP="00FA0D3B">
            <w:pPr>
              <w:spacing w:line="240" w:lineRule="auto"/>
              <w:jc w:val="center"/>
              <w:rPr>
                <w:rFonts w:eastAsia="Times New Roman"/>
                <w:color w:val="000000"/>
              </w:rPr>
            </w:pPr>
            <w:r>
              <w:rPr>
                <w:rFonts w:eastAsia="Times New Roman"/>
                <w:color w:val="000000"/>
              </w:rPr>
              <w:t>3.04</w:t>
            </w:r>
            <w:r w:rsidR="00FA0D3B" w:rsidRPr="00FA0D3B">
              <w:rPr>
                <w:rFonts w:eastAsia="Times New Roman"/>
                <w:color w:val="000000"/>
              </w:rPr>
              <w:t xml:space="preserve"> (</w:t>
            </w:r>
            <w:proofErr w:type="gramStart"/>
            <w:r w:rsidR="00FA0D3B" w:rsidRPr="00FA0D3B">
              <w:rPr>
                <w:rFonts w:eastAsia="Times New Roman"/>
                <w:color w:val="000000"/>
              </w:rPr>
              <w:t>1.3</w:t>
            </w:r>
            <w:r>
              <w:rPr>
                <w:rFonts w:eastAsia="Times New Roman"/>
                <w:color w:val="000000"/>
              </w:rPr>
              <w:t>3</w:t>
            </w:r>
            <w:r w:rsidR="00FA0D3B" w:rsidRPr="00FA0D3B">
              <w:rPr>
                <w:rFonts w:eastAsia="Times New Roman"/>
                <w:color w:val="000000"/>
              </w:rPr>
              <w:t>)*</w:t>
            </w:r>
            <w:proofErr w:type="gramEnd"/>
            <w:r w:rsidR="00FA0D3B"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2F4206D7"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130D3815"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7D2D2629"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481DFD5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r>
      <w:tr w:rsidR="00FA0D3B" w:rsidRPr="00FA0D3B" w14:paraId="2C52E106"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72278B85" w14:textId="77777777" w:rsidR="00FA0D3B" w:rsidRPr="00FA0D3B" w:rsidRDefault="00FA0D3B" w:rsidP="00FA0D3B">
            <w:pPr>
              <w:spacing w:line="240" w:lineRule="auto"/>
              <w:rPr>
                <w:rFonts w:eastAsia="Times New Roman"/>
                <w:color w:val="000000"/>
              </w:rPr>
            </w:pPr>
            <w:r w:rsidRPr="00FA0D3B">
              <w:rPr>
                <w:rFonts w:eastAsia="Times New Roman"/>
                <w:color w:val="000000"/>
              </w:rPr>
              <w:t>WM * Avg. Filings</w:t>
            </w:r>
          </w:p>
        </w:tc>
        <w:tc>
          <w:tcPr>
            <w:tcW w:w="1570" w:type="dxa"/>
            <w:tcBorders>
              <w:top w:val="nil"/>
              <w:left w:val="nil"/>
              <w:bottom w:val="nil"/>
              <w:right w:val="nil"/>
            </w:tcBorders>
            <w:shd w:val="clear" w:color="auto" w:fill="auto"/>
            <w:noWrap/>
            <w:vAlign w:val="bottom"/>
            <w:hideMark/>
          </w:tcPr>
          <w:p w14:paraId="72206ED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614A16BC" w14:textId="173040F2" w:rsidR="00FA0D3B" w:rsidRPr="00FA0D3B" w:rsidRDefault="00FA0D3B" w:rsidP="00FA0D3B">
            <w:pPr>
              <w:spacing w:line="240" w:lineRule="auto"/>
              <w:jc w:val="center"/>
              <w:rPr>
                <w:rFonts w:eastAsia="Times New Roman"/>
                <w:color w:val="000000"/>
              </w:rPr>
            </w:pPr>
            <w:r w:rsidRPr="00FA0D3B">
              <w:rPr>
                <w:rFonts w:eastAsia="Times New Roman"/>
                <w:color w:val="000000"/>
              </w:rPr>
              <w:t>0.0</w:t>
            </w:r>
            <w:r w:rsidR="0080149E">
              <w:rPr>
                <w:rFonts w:eastAsia="Times New Roman"/>
                <w:color w:val="000000"/>
              </w:rPr>
              <w:t>5</w:t>
            </w:r>
            <w:r w:rsidRPr="00FA0D3B">
              <w:rPr>
                <w:rFonts w:eastAsia="Times New Roman"/>
                <w:color w:val="000000"/>
              </w:rPr>
              <w:t xml:space="preserve"> (.18)</w:t>
            </w:r>
          </w:p>
        </w:tc>
        <w:tc>
          <w:tcPr>
            <w:tcW w:w="1620" w:type="dxa"/>
            <w:tcBorders>
              <w:top w:val="nil"/>
              <w:left w:val="nil"/>
              <w:bottom w:val="nil"/>
              <w:right w:val="nil"/>
            </w:tcBorders>
            <w:shd w:val="clear" w:color="auto" w:fill="auto"/>
            <w:noWrap/>
            <w:vAlign w:val="bottom"/>
            <w:hideMark/>
          </w:tcPr>
          <w:p w14:paraId="72570D46"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10A5349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2CE01A04"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r>
      <w:tr w:rsidR="00FA0D3B" w:rsidRPr="00FA0D3B" w14:paraId="7805CF30"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028F674B" w14:textId="77777777" w:rsidR="00FA0D3B" w:rsidRPr="00FA0D3B" w:rsidRDefault="00FA0D3B" w:rsidP="00FA0D3B">
            <w:pPr>
              <w:spacing w:line="240" w:lineRule="auto"/>
              <w:rPr>
                <w:rFonts w:eastAsia="Times New Roman"/>
                <w:color w:val="000000"/>
              </w:rPr>
            </w:pPr>
            <w:r w:rsidRPr="00FA0D3B">
              <w:rPr>
                <w:rFonts w:eastAsia="Times New Roman"/>
                <w:color w:val="000000"/>
              </w:rPr>
              <w:t>WM* Avg. Workhours</w:t>
            </w:r>
          </w:p>
        </w:tc>
        <w:tc>
          <w:tcPr>
            <w:tcW w:w="1570" w:type="dxa"/>
            <w:tcBorders>
              <w:top w:val="nil"/>
              <w:left w:val="nil"/>
              <w:bottom w:val="nil"/>
              <w:right w:val="nil"/>
            </w:tcBorders>
            <w:shd w:val="clear" w:color="auto" w:fill="auto"/>
            <w:noWrap/>
            <w:vAlign w:val="bottom"/>
            <w:hideMark/>
          </w:tcPr>
          <w:p w14:paraId="527A5FFE"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3BC17283"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0752D0E7" w14:textId="31385211" w:rsidR="00FA0D3B" w:rsidRPr="00FA0D3B" w:rsidRDefault="00FA0D3B" w:rsidP="00FA0D3B">
            <w:pPr>
              <w:spacing w:line="240" w:lineRule="auto"/>
              <w:jc w:val="center"/>
              <w:rPr>
                <w:rFonts w:eastAsia="Times New Roman"/>
                <w:color w:val="000000"/>
              </w:rPr>
            </w:pPr>
            <w:r w:rsidRPr="00FA0D3B">
              <w:rPr>
                <w:rFonts w:eastAsia="Times New Roman"/>
                <w:color w:val="000000"/>
              </w:rPr>
              <w:t>0.01</w:t>
            </w:r>
            <w:r w:rsidR="0080149E">
              <w:rPr>
                <w:rFonts w:eastAsia="Times New Roman"/>
                <w:color w:val="000000"/>
              </w:rPr>
              <w:t>2</w:t>
            </w:r>
            <w:r w:rsidRPr="00FA0D3B">
              <w:rPr>
                <w:rFonts w:eastAsia="Times New Roman"/>
                <w:color w:val="000000"/>
              </w:rPr>
              <w:t xml:space="preserve"> (.</w:t>
            </w:r>
            <w:proofErr w:type="gramStart"/>
            <w:r w:rsidRPr="00FA0D3B">
              <w:rPr>
                <w:rFonts w:eastAsia="Times New Roman"/>
                <w:color w:val="000000"/>
              </w:rPr>
              <w:t>006)</w:t>
            </w:r>
            <w:r w:rsidR="0080149E">
              <w:rPr>
                <w:rFonts w:eastAsia="Times New Roman"/>
                <w:color w:val="000000"/>
              </w:rPr>
              <w:t>*</w:t>
            </w:r>
            <w:proofErr w:type="gramEnd"/>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0F24E212"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15019034"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r>
      <w:tr w:rsidR="00FA0D3B" w:rsidRPr="00FA0D3B" w14:paraId="3C318DFF"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11EA5C67" w14:textId="77777777" w:rsidR="00FA0D3B" w:rsidRPr="00FA0D3B" w:rsidRDefault="00FA0D3B" w:rsidP="00FA0D3B">
            <w:pPr>
              <w:spacing w:line="240" w:lineRule="auto"/>
              <w:rPr>
                <w:rFonts w:eastAsia="Times New Roman"/>
                <w:color w:val="000000"/>
              </w:rPr>
            </w:pPr>
            <w:r w:rsidRPr="00FA0D3B">
              <w:rPr>
                <w:rFonts w:eastAsia="Times New Roman"/>
                <w:color w:val="000000"/>
              </w:rPr>
              <w:t>WM * Top 15</w:t>
            </w:r>
          </w:p>
        </w:tc>
        <w:tc>
          <w:tcPr>
            <w:tcW w:w="1570" w:type="dxa"/>
            <w:tcBorders>
              <w:top w:val="nil"/>
              <w:left w:val="nil"/>
              <w:bottom w:val="nil"/>
              <w:right w:val="nil"/>
            </w:tcBorders>
            <w:shd w:val="clear" w:color="auto" w:fill="auto"/>
            <w:noWrap/>
            <w:vAlign w:val="bottom"/>
            <w:hideMark/>
          </w:tcPr>
          <w:p w14:paraId="66E7878C"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5B480589"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75094663"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7FDE3A33" w14:textId="1D641F78"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2331FD">
              <w:rPr>
                <w:rFonts w:eastAsia="Times New Roman"/>
                <w:color w:val="000000"/>
              </w:rPr>
              <w:t>40</w:t>
            </w:r>
            <w:r w:rsidRPr="00FA0D3B">
              <w:rPr>
                <w:rFonts w:eastAsia="Times New Roman"/>
                <w:color w:val="000000"/>
              </w:rPr>
              <w:t xml:space="preserve"> (.7</w:t>
            </w:r>
            <w:r w:rsidR="002331FD">
              <w:rPr>
                <w:rFonts w:eastAsia="Times New Roman"/>
                <w:color w:val="000000"/>
              </w:rPr>
              <w:t>5</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0B6BA8A6"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r>
      <w:tr w:rsidR="00FA0D3B" w:rsidRPr="00FA0D3B" w14:paraId="11D062F7"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54213120" w14:textId="77777777" w:rsidR="00FA0D3B" w:rsidRPr="00FA0D3B" w:rsidRDefault="00FA0D3B" w:rsidP="00FA0D3B">
            <w:pPr>
              <w:spacing w:line="240" w:lineRule="auto"/>
              <w:rPr>
                <w:rFonts w:eastAsia="Times New Roman"/>
                <w:color w:val="000000"/>
              </w:rPr>
            </w:pPr>
            <w:r w:rsidRPr="00FA0D3B">
              <w:rPr>
                <w:rFonts w:eastAsia="Times New Roman"/>
                <w:color w:val="000000"/>
              </w:rPr>
              <w:t>WM * Dem. Pres.</w:t>
            </w:r>
          </w:p>
        </w:tc>
        <w:tc>
          <w:tcPr>
            <w:tcW w:w="1570" w:type="dxa"/>
            <w:tcBorders>
              <w:top w:val="nil"/>
              <w:left w:val="nil"/>
              <w:bottom w:val="nil"/>
              <w:right w:val="nil"/>
            </w:tcBorders>
            <w:shd w:val="clear" w:color="auto" w:fill="auto"/>
            <w:noWrap/>
            <w:vAlign w:val="bottom"/>
            <w:hideMark/>
          </w:tcPr>
          <w:p w14:paraId="18666907"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2BD7E133"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13E72916"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261FF661"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333BA25C" w14:textId="23AE42B4" w:rsidR="00FA0D3B" w:rsidRPr="00FA0D3B" w:rsidRDefault="00FA0D3B" w:rsidP="00FA0D3B">
            <w:pPr>
              <w:spacing w:line="240" w:lineRule="auto"/>
              <w:jc w:val="center"/>
              <w:rPr>
                <w:rFonts w:eastAsia="Times New Roman"/>
                <w:color w:val="000000"/>
              </w:rPr>
            </w:pPr>
            <w:r w:rsidRPr="00FA0D3B">
              <w:rPr>
                <w:rFonts w:eastAsia="Times New Roman"/>
                <w:color w:val="000000"/>
              </w:rPr>
              <w:t>-0.0</w:t>
            </w:r>
            <w:r w:rsidR="002331FD">
              <w:rPr>
                <w:rFonts w:eastAsia="Times New Roman"/>
                <w:color w:val="000000"/>
              </w:rPr>
              <w:t>7</w:t>
            </w:r>
            <w:r w:rsidRPr="00FA0D3B">
              <w:rPr>
                <w:rFonts w:eastAsia="Times New Roman"/>
                <w:color w:val="000000"/>
              </w:rPr>
              <w:t xml:space="preserve"> (.8</w:t>
            </w:r>
            <w:r w:rsidR="002331FD">
              <w:rPr>
                <w:rFonts w:eastAsia="Times New Roman"/>
                <w:color w:val="000000"/>
              </w:rPr>
              <w:t>2</w:t>
            </w:r>
            <w:r w:rsidRPr="00FA0D3B">
              <w:rPr>
                <w:rFonts w:eastAsia="Times New Roman"/>
                <w:color w:val="000000"/>
              </w:rPr>
              <w:t>)</w:t>
            </w:r>
          </w:p>
        </w:tc>
      </w:tr>
      <w:tr w:rsidR="00FA0D3B" w:rsidRPr="00FA0D3B" w14:paraId="7B7EA108"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02715269" w14:textId="77777777" w:rsidR="00FA0D3B" w:rsidRPr="00FA0D3B" w:rsidRDefault="00FA0D3B" w:rsidP="00FA0D3B">
            <w:pPr>
              <w:spacing w:line="240" w:lineRule="auto"/>
              <w:rPr>
                <w:rFonts w:eastAsia="Times New Roman"/>
                <w:color w:val="000000"/>
              </w:rPr>
            </w:pPr>
            <w:r w:rsidRPr="00FA0D3B">
              <w:rPr>
                <w:rFonts w:eastAsia="Times New Roman"/>
                <w:color w:val="000000"/>
              </w:rPr>
              <w:t>Border District</w:t>
            </w:r>
          </w:p>
        </w:tc>
        <w:tc>
          <w:tcPr>
            <w:tcW w:w="1570" w:type="dxa"/>
            <w:tcBorders>
              <w:top w:val="nil"/>
              <w:left w:val="nil"/>
              <w:bottom w:val="nil"/>
              <w:right w:val="nil"/>
            </w:tcBorders>
            <w:shd w:val="clear" w:color="auto" w:fill="auto"/>
            <w:noWrap/>
            <w:vAlign w:val="bottom"/>
            <w:hideMark/>
          </w:tcPr>
          <w:p w14:paraId="50732DDB" w14:textId="4720E7FF" w:rsidR="00FA0D3B" w:rsidRPr="00FA0D3B" w:rsidRDefault="00FA0D3B" w:rsidP="00FA0D3B">
            <w:pPr>
              <w:spacing w:line="240" w:lineRule="auto"/>
              <w:jc w:val="center"/>
              <w:rPr>
                <w:rFonts w:eastAsia="Times New Roman"/>
                <w:color w:val="000000"/>
              </w:rPr>
            </w:pPr>
            <w:r w:rsidRPr="00FA0D3B">
              <w:rPr>
                <w:rFonts w:eastAsia="Times New Roman"/>
                <w:color w:val="000000"/>
              </w:rPr>
              <w:t>-0.0</w:t>
            </w:r>
            <w:r w:rsidR="0080149E">
              <w:rPr>
                <w:rFonts w:eastAsia="Times New Roman"/>
                <w:color w:val="000000"/>
              </w:rPr>
              <w:t>3</w:t>
            </w:r>
            <w:r w:rsidRPr="00FA0D3B">
              <w:rPr>
                <w:rFonts w:eastAsia="Times New Roman"/>
                <w:color w:val="000000"/>
              </w:rPr>
              <w:t xml:space="preserve"> (.8</w:t>
            </w:r>
            <w:r w:rsidR="0080149E">
              <w:rPr>
                <w:rFonts w:eastAsia="Times New Roman"/>
                <w:color w:val="000000"/>
              </w:rPr>
              <w:t>2</w:t>
            </w:r>
            <w:r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6DB30EBD" w14:textId="10186A37"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12</w:t>
            </w:r>
            <w:r w:rsidRPr="00FA0D3B">
              <w:rPr>
                <w:rFonts w:eastAsia="Times New Roman"/>
                <w:color w:val="000000"/>
              </w:rPr>
              <w:t xml:space="preserve"> (1.0</w:t>
            </w:r>
            <w:r w:rsidR="0080149E">
              <w:rPr>
                <w:rFonts w:eastAsia="Times New Roman"/>
                <w:color w:val="000000"/>
              </w:rPr>
              <w:t>3</w:t>
            </w:r>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094953E3" w14:textId="4F5A053E" w:rsidR="00FA0D3B" w:rsidRPr="00FA0D3B" w:rsidRDefault="00FA0D3B" w:rsidP="00FA0D3B">
            <w:pPr>
              <w:spacing w:line="240" w:lineRule="auto"/>
              <w:jc w:val="center"/>
              <w:rPr>
                <w:rFonts w:eastAsia="Times New Roman"/>
                <w:color w:val="000000"/>
              </w:rPr>
            </w:pPr>
            <w:r w:rsidRPr="00FA0D3B">
              <w:rPr>
                <w:rFonts w:eastAsia="Times New Roman"/>
                <w:color w:val="000000"/>
              </w:rPr>
              <w:t>0.0</w:t>
            </w:r>
            <w:r w:rsidR="0080149E">
              <w:rPr>
                <w:rFonts w:eastAsia="Times New Roman"/>
                <w:color w:val="000000"/>
              </w:rPr>
              <w:t>2</w:t>
            </w:r>
            <w:r w:rsidRPr="00FA0D3B">
              <w:rPr>
                <w:rFonts w:eastAsia="Times New Roman"/>
                <w:color w:val="000000"/>
              </w:rPr>
              <w:t xml:space="preserve"> (.8</w:t>
            </w:r>
            <w:r w:rsidR="0080149E">
              <w:rPr>
                <w:rFonts w:eastAsia="Times New Roman"/>
                <w:color w:val="000000"/>
              </w:rPr>
              <w:t>7</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5D23DC3E" w14:textId="38A090AF" w:rsidR="00FA0D3B" w:rsidRPr="00FA0D3B" w:rsidRDefault="00FA0D3B" w:rsidP="00FA0D3B">
            <w:pPr>
              <w:spacing w:line="240" w:lineRule="auto"/>
              <w:jc w:val="center"/>
              <w:rPr>
                <w:rFonts w:eastAsia="Times New Roman"/>
                <w:color w:val="000000"/>
              </w:rPr>
            </w:pPr>
            <w:r w:rsidRPr="00FA0D3B">
              <w:rPr>
                <w:rFonts w:eastAsia="Times New Roman"/>
                <w:color w:val="000000"/>
              </w:rPr>
              <w:t>0.0</w:t>
            </w:r>
            <w:r w:rsidR="002331FD">
              <w:rPr>
                <w:rFonts w:eastAsia="Times New Roman"/>
                <w:color w:val="000000"/>
              </w:rPr>
              <w:t>5</w:t>
            </w:r>
            <w:r w:rsidRPr="00FA0D3B">
              <w:rPr>
                <w:rFonts w:eastAsia="Times New Roman"/>
                <w:color w:val="000000"/>
              </w:rPr>
              <w:t xml:space="preserve"> (.8</w:t>
            </w:r>
            <w:r w:rsidR="002331FD">
              <w:rPr>
                <w:rFonts w:eastAsia="Times New Roman"/>
                <w:color w:val="000000"/>
              </w:rPr>
              <w:t>5</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43C519E1" w14:textId="3462381D" w:rsidR="00FA0D3B" w:rsidRPr="00FA0D3B" w:rsidRDefault="00FA0D3B" w:rsidP="00FA0D3B">
            <w:pPr>
              <w:spacing w:line="240" w:lineRule="auto"/>
              <w:jc w:val="center"/>
              <w:rPr>
                <w:rFonts w:eastAsia="Times New Roman"/>
                <w:color w:val="000000"/>
              </w:rPr>
            </w:pPr>
            <w:r w:rsidRPr="00FA0D3B">
              <w:rPr>
                <w:rFonts w:eastAsia="Times New Roman"/>
                <w:color w:val="000000"/>
              </w:rPr>
              <w:t>0.0</w:t>
            </w:r>
            <w:r w:rsidR="002331FD">
              <w:rPr>
                <w:rFonts w:eastAsia="Times New Roman"/>
                <w:color w:val="000000"/>
              </w:rPr>
              <w:t>4</w:t>
            </w:r>
            <w:r w:rsidRPr="00FA0D3B">
              <w:rPr>
                <w:rFonts w:eastAsia="Times New Roman"/>
                <w:color w:val="000000"/>
              </w:rPr>
              <w:t xml:space="preserve"> (.8</w:t>
            </w:r>
            <w:r w:rsidR="002331FD">
              <w:rPr>
                <w:rFonts w:eastAsia="Times New Roman"/>
                <w:color w:val="000000"/>
              </w:rPr>
              <w:t>8</w:t>
            </w:r>
            <w:r w:rsidRPr="00FA0D3B">
              <w:rPr>
                <w:rFonts w:eastAsia="Times New Roman"/>
                <w:color w:val="000000"/>
              </w:rPr>
              <w:t>)</w:t>
            </w:r>
          </w:p>
        </w:tc>
      </w:tr>
      <w:tr w:rsidR="00FA0D3B" w:rsidRPr="00FA0D3B" w14:paraId="4A7CD0FF"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43F49702" w14:textId="77777777" w:rsidR="00FA0D3B" w:rsidRPr="00FA0D3B" w:rsidRDefault="00FA0D3B" w:rsidP="00FA0D3B">
            <w:pPr>
              <w:spacing w:line="240" w:lineRule="auto"/>
              <w:rPr>
                <w:rFonts w:eastAsia="Times New Roman"/>
                <w:color w:val="000000"/>
              </w:rPr>
            </w:pPr>
            <w:r w:rsidRPr="00FA0D3B">
              <w:rPr>
                <w:rFonts w:eastAsia="Times New Roman"/>
                <w:color w:val="000000"/>
              </w:rPr>
              <w:t>Transition Year</w:t>
            </w:r>
          </w:p>
        </w:tc>
        <w:tc>
          <w:tcPr>
            <w:tcW w:w="1570" w:type="dxa"/>
            <w:tcBorders>
              <w:top w:val="nil"/>
              <w:left w:val="nil"/>
              <w:bottom w:val="nil"/>
              <w:right w:val="nil"/>
            </w:tcBorders>
            <w:shd w:val="clear" w:color="auto" w:fill="auto"/>
            <w:noWrap/>
            <w:vAlign w:val="bottom"/>
            <w:hideMark/>
          </w:tcPr>
          <w:p w14:paraId="1951FF2C" w14:textId="68AFBF65"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53</w:t>
            </w:r>
            <w:r w:rsidRPr="00FA0D3B">
              <w:rPr>
                <w:rFonts w:eastAsia="Times New Roman"/>
                <w:color w:val="000000"/>
              </w:rPr>
              <w:t xml:space="preserve"> (.5</w:t>
            </w:r>
            <w:r w:rsidR="0080149E">
              <w:rPr>
                <w:rFonts w:eastAsia="Times New Roman"/>
                <w:color w:val="000000"/>
              </w:rPr>
              <w:t>9</w:t>
            </w:r>
            <w:r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79B6ED7C" w14:textId="1203AFEE"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64</w:t>
            </w:r>
            <w:r w:rsidRPr="00FA0D3B">
              <w:rPr>
                <w:rFonts w:eastAsia="Times New Roman"/>
                <w:color w:val="000000"/>
              </w:rPr>
              <w:t xml:space="preserve"> (.6</w:t>
            </w:r>
            <w:r w:rsidR="0080149E">
              <w:rPr>
                <w:rFonts w:eastAsia="Times New Roman"/>
                <w:color w:val="000000"/>
              </w:rPr>
              <w:t>4</w:t>
            </w:r>
            <w:r w:rsidRPr="00FA0D3B">
              <w:rPr>
                <w:rFonts w:eastAsia="Times New Roman"/>
                <w:color w:val="000000"/>
              </w:rPr>
              <w:t>)</w:t>
            </w:r>
          </w:p>
        </w:tc>
        <w:tc>
          <w:tcPr>
            <w:tcW w:w="1620" w:type="dxa"/>
            <w:tcBorders>
              <w:top w:val="nil"/>
              <w:left w:val="nil"/>
              <w:bottom w:val="nil"/>
              <w:right w:val="nil"/>
            </w:tcBorders>
            <w:shd w:val="clear" w:color="auto" w:fill="auto"/>
            <w:noWrap/>
            <w:vAlign w:val="bottom"/>
            <w:hideMark/>
          </w:tcPr>
          <w:p w14:paraId="79C19838" w14:textId="195FC513"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80149E">
              <w:rPr>
                <w:rFonts w:eastAsia="Times New Roman"/>
                <w:color w:val="000000"/>
              </w:rPr>
              <w:t>64</w:t>
            </w:r>
            <w:r w:rsidRPr="00FA0D3B">
              <w:rPr>
                <w:rFonts w:eastAsia="Times New Roman"/>
                <w:color w:val="000000"/>
              </w:rPr>
              <w:t xml:space="preserve"> (.6</w:t>
            </w:r>
            <w:r w:rsidR="0080149E">
              <w:rPr>
                <w:rFonts w:eastAsia="Times New Roman"/>
                <w:color w:val="000000"/>
              </w:rPr>
              <w:t>4</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12F98506" w14:textId="5D595F4F"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2331FD">
              <w:rPr>
                <w:rFonts w:eastAsia="Times New Roman"/>
                <w:color w:val="000000"/>
              </w:rPr>
              <w:t>64</w:t>
            </w:r>
            <w:r w:rsidRPr="00FA0D3B">
              <w:rPr>
                <w:rFonts w:eastAsia="Times New Roman"/>
                <w:color w:val="000000"/>
              </w:rPr>
              <w:t xml:space="preserve"> (.6</w:t>
            </w:r>
            <w:r w:rsidR="002331FD">
              <w:rPr>
                <w:rFonts w:eastAsia="Times New Roman"/>
                <w:color w:val="000000"/>
              </w:rPr>
              <w:t>4</w:t>
            </w:r>
            <w:r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0970E138" w14:textId="47E93FE1"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2331FD">
              <w:rPr>
                <w:rFonts w:eastAsia="Times New Roman"/>
                <w:color w:val="000000"/>
              </w:rPr>
              <w:t>64</w:t>
            </w:r>
            <w:r w:rsidRPr="00FA0D3B">
              <w:rPr>
                <w:rFonts w:eastAsia="Times New Roman"/>
                <w:color w:val="000000"/>
              </w:rPr>
              <w:t xml:space="preserve"> (.6</w:t>
            </w:r>
            <w:r w:rsidR="002331FD">
              <w:rPr>
                <w:rFonts w:eastAsia="Times New Roman"/>
                <w:color w:val="000000"/>
              </w:rPr>
              <w:t>3</w:t>
            </w:r>
            <w:r w:rsidRPr="00FA0D3B">
              <w:rPr>
                <w:rFonts w:eastAsia="Times New Roman"/>
                <w:color w:val="000000"/>
              </w:rPr>
              <w:t>)</w:t>
            </w:r>
          </w:p>
        </w:tc>
      </w:tr>
      <w:tr w:rsidR="00FA0D3B" w:rsidRPr="00FA0D3B" w14:paraId="12BAFD8F"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316AB48F" w14:textId="77777777" w:rsidR="00FA0D3B" w:rsidRPr="00FA0D3B" w:rsidRDefault="00FA0D3B" w:rsidP="00FA0D3B">
            <w:pPr>
              <w:spacing w:line="240" w:lineRule="auto"/>
              <w:rPr>
                <w:rFonts w:eastAsia="Times New Roman"/>
                <w:color w:val="000000"/>
              </w:rPr>
            </w:pPr>
            <w:r w:rsidRPr="00FA0D3B">
              <w:rPr>
                <w:rFonts w:eastAsia="Times New Roman"/>
                <w:color w:val="000000"/>
              </w:rPr>
              <w:t>Year Leaving</w:t>
            </w:r>
          </w:p>
        </w:tc>
        <w:tc>
          <w:tcPr>
            <w:tcW w:w="1570" w:type="dxa"/>
            <w:tcBorders>
              <w:top w:val="nil"/>
              <w:left w:val="nil"/>
              <w:bottom w:val="nil"/>
              <w:right w:val="nil"/>
            </w:tcBorders>
            <w:shd w:val="clear" w:color="auto" w:fill="auto"/>
            <w:noWrap/>
            <w:vAlign w:val="bottom"/>
            <w:hideMark/>
          </w:tcPr>
          <w:p w14:paraId="659D9755"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-0.03 (.02)</w:t>
            </w:r>
          </w:p>
        </w:tc>
        <w:tc>
          <w:tcPr>
            <w:tcW w:w="1710" w:type="dxa"/>
            <w:tcBorders>
              <w:top w:val="nil"/>
              <w:left w:val="nil"/>
              <w:bottom w:val="nil"/>
              <w:right w:val="nil"/>
            </w:tcBorders>
            <w:shd w:val="clear" w:color="auto" w:fill="auto"/>
            <w:noWrap/>
            <w:vAlign w:val="bottom"/>
            <w:hideMark/>
          </w:tcPr>
          <w:p w14:paraId="69C3795C"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-0.03 (.02)</w:t>
            </w:r>
          </w:p>
        </w:tc>
        <w:tc>
          <w:tcPr>
            <w:tcW w:w="1620" w:type="dxa"/>
            <w:tcBorders>
              <w:top w:val="nil"/>
              <w:left w:val="nil"/>
              <w:bottom w:val="nil"/>
              <w:right w:val="nil"/>
            </w:tcBorders>
            <w:shd w:val="clear" w:color="auto" w:fill="auto"/>
            <w:noWrap/>
            <w:vAlign w:val="bottom"/>
            <w:hideMark/>
          </w:tcPr>
          <w:p w14:paraId="0B13A454" w14:textId="5A446750" w:rsidR="00FA0D3B" w:rsidRPr="00FA0D3B" w:rsidRDefault="00FA0D3B" w:rsidP="00FA0D3B">
            <w:pPr>
              <w:spacing w:line="240" w:lineRule="auto"/>
              <w:jc w:val="center"/>
              <w:rPr>
                <w:rFonts w:eastAsia="Times New Roman"/>
                <w:color w:val="000000"/>
              </w:rPr>
            </w:pPr>
            <w:r w:rsidRPr="00FA0D3B">
              <w:rPr>
                <w:rFonts w:eastAsia="Times New Roman"/>
                <w:color w:val="000000"/>
              </w:rPr>
              <w:t>-0.03</w:t>
            </w:r>
            <w:r w:rsidR="0080149E">
              <w:rPr>
                <w:rFonts w:eastAsia="Times New Roman"/>
                <w:color w:val="000000"/>
              </w:rPr>
              <w:t>5</w:t>
            </w:r>
            <w:r w:rsidRPr="00FA0D3B">
              <w:rPr>
                <w:rFonts w:eastAsia="Times New Roman"/>
                <w:color w:val="000000"/>
              </w:rPr>
              <w:t xml:space="preserve"> (.024)</w:t>
            </w:r>
          </w:p>
        </w:tc>
        <w:tc>
          <w:tcPr>
            <w:tcW w:w="1800" w:type="dxa"/>
            <w:tcBorders>
              <w:top w:val="nil"/>
              <w:left w:val="nil"/>
              <w:bottom w:val="nil"/>
              <w:right w:val="nil"/>
            </w:tcBorders>
            <w:shd w:val="clear" w:color="auto" w:fill="auto"/>
            <w:noWrap/>
            <w:vAlign w:val="bottom"/>
            <w:hideMark/>
          </w:tcPr>
          <w:p w14:paraId="0B93DF32"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-0.03 (.02)</w:t>
            </w:r>
          </w:p>
        </w:tc>
        <w:tc>
          <w:tcPr>
            <w:tcW w:w="1800" w:type="dxa"/>
            <w:tcBorders>
              <w:top w:val="nil"/>
              <w:left w:val="nil"/>
              <w:bottom w:val="nil"/>
              <w:right w:val="nil"/>
            </w:tcBorders>
            <w:shd w:val="clear" w:color="auto" w:fill="auto"/>
            <w:noWrap/>
            <w:vAlign w:val="bottom"/>
            <w:hideMark/>
          </w:tcPr>
          <w:p w14:paraId="42E628E0"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-0.03 (.02)</w:t>
            </w:r>
          </w:p>
        </w:tc>
      </w:tr>
      <w:tr w:rsidR="00FA0D3B" w:rsidRPr="00FA0D3B" w14:paraId="7547514E"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2A9E04CF" w14:textId="77777777" w:rsidR="00FA0D3B" w:rsidRPr="00FA0D3B" w:rsidRDefault="00FA0D3B" w:rsidP="00FA0D3B">
            <w:pPr>
              <w:spacing w:line="240" w:lineRule="auto"/>
              <w:rPr>
                <w:rFonts w:eastAsia="Times New Roman"/>
                <w:color w:val="000000"/>
              </w:rPr>
            </w:pPr>
            <w:r w:rsidRPr="00FA0D3B">
              <w:rPr>
                <w:rFonts w:eastAsia="Times New Roman"/>
                <w:color w:val="000000"/>
              </w:rPr>
              <w:t>Constant</w:t>
            </w:r>
          </w:p>
        </w:tc>
        <w:tc>
          <w:tcPr>
            <w:tcW w:w="1570" w:type="dxa"/>
            <w:tcBorders>
              <w:top w:val="nil"/>
              <w:left w:val="nil"/>
              <w:bottom w:val="nil"/>
              <w:right w:val="nil"/>
            </w:tcBorders>
            <w:shd w:val="clear" w:color="auto" w:fill="auto"/>
            <w:noWrap/>
            <w:vAlign w:val="bottom"/>
            <w:hideMark/>
          </w:tcPr>
          <w:p w14:paraId="0B2B32F9" w14:textId="046A1F38" w:rsidR="00FA0D3B" w:rsidRPr="00FA0D3B" w:rsidRDefault="00FA0D3B" w:rsidP="00FA0D3B">
            <w:pPr>
              <w:spacing w:line="240" w:lineRule="auto"/>
              <w:jc w:val="center"/>
              <w:rPr>
                <w:rFonts w:eastAsia="Times New Roman"/>
                <w:color w:val="000000"/>
              </w:rPr>
            </w:pPr>
            <w:r w:rsidRPr="00FA0D3B">
              <w:rPr>
                <w:rFonts w:eastAsia="Times New Roman"/>
                <w:color w:val="000000"/>
              </w:rPr>
              <w:t>6</w:t>
            </w:r>
            <w:r w:rsidR="0080149E">
              <w:rPr>
                <w:rFonts w:eastAsia="Times New Roman"/>
                <w:color w:val="000000"/>
              </w:rPr>
              <w:t>4</w:t>
            </w:r>
            <w:r w:rsidRPr="00FA0D3B">
              <w:rPr>
                <w:rFonts w:eastAsia="Times New Roman"/>
                <w:color w:val="000000"/>
              </w:rPr>
              <w:t>.3</w:t>
            </w:r>
            <w:r w:rsidR="0080149E">
              <w:rPr>
                <w:rFonts w:eastAsia="Times New Roman"/>
                <w:color w:val="000000"/>
              </w:rPr>
              <w:t>8</w:t>
            </w:r>
            <w:r w:rsidRPr="00FA0D3B">
              <w:rPr>
                <w:rFonts w:eastAsia="Times New Roman"/>
                <w:color w:val="000000"/>
              </w:rPr>
              <w:t xml:space="preserve"> (4</w:t>
            </w:r>
            <w:r w:rsidR="0080149E">
              <w:rPr>
                <w:rFonts w:eastAsia="Times New Roman"/>
                <w:color w:val="000000"/>
              </w:rPr>
              <w:t>9</w:t>
            </w:r>
            <w:r w:rsidRPr="00FA0D3B">
              <w:rPr>
                <w:rFonts w:eastAsia="Times New Roman"/>
                <w:color w:val="000000"/>
              </w:rPr>
              <w:t>.</w:t>
            </w:r>
            <w:r w:rsidR="0080149E">
              <w:rPr>
                <w:rFonts w:eastAsia="Times New Roman"/>
                <w:color w:val="000000"/>
              </w:rPr>
              <w:t>27</w:t>
            </w:r>
            <w:r w:rsidRPr="00FA0D3B">
              <w:rPr>
                <w:rFonts w:eastAsia="Times New Roman"/>
                <w:color w:val="000000"/>
              </w:rPr>
              <w:t>)</w:t>
            </w:r>
          </w:p>
        </w:tc>
        <w:tc>
          <w:tcPr>
            <w:tcW w:w="1710" w:type="dxa"/>
            <w:tcBorders>
              <w:top w:val="nil"/>
              <w:left w:val="nil"/>
              <w:bottom w:val="nil"/>
              <w:right w:val="nil"/>
            </w:tcBorders>
            <w:shd w:val="clear" w:color="auto" w:fill="auto"/>
            <w:noWrap/>
            <w:vAlign w:val="bottom"/>
            <w:hideMark/>
          </w:tcPr>
          <w:p w14:paraId="134F2FA9" w14:textId="79B0DA27" w:rsidR="00FA0D3B" w:rsidRPr="00FA0D3B" w:rsidRDefault="0080149E" w:rsidP="00FA0D3B">
            <w:pPr>
              <w:spacing w:line="240" w:lineRule="auto"/>
              <w:jc w:val="center"/>
              <w:rPr>
                <w:rFonts w:eastAsia="Times New Roman"/>
                <w:color w:val="000000"/>
              </w:rPr>
            </w:pPr>
            <w:r>
              <w:rPr>
                <w:rFonts w:eastAsia="Times New Roman"/>
                <w:color w:val="000000"/>
              </w:rPr>
              <w:t>66.38</w:t>
            </w:r>
            <w:r w:rsidR="00FA0D3B" w:rsidRPr="00FA0D3B">
              <w:rPr>
                <w:rFonts w:eastAsia="Times New Roman"/>
                <w:color w:val="000000"/>
              </w:rPr>
              <w:t xml:space="preserve"> (4</w:t>
            </w:r>
            <w:r>
              <w:rPr>
                <w:rFonts w:eastAsia="Times New Roman"/>
                <w:color w:val="000000"/>
              </w:rPr>
              <w:t>8</w:t>
            </w:r>
            <w:r w:rsidR="00FA0D3B" w:rsidRPr="00FA0D3B">
              <w:rPr>
                <w:rFonts w:eastAsia="Times New Roman"/>
                <w:color w:val="000000"/>
              </w:rPr>
              <w:t>.</w:t>
            </w:r>
            <w:r>
              <w:rPr>
                <w:rFonts w:eastAsia="Times New Roman"/>
                <w:color w:val="000000"/>
              </w:rPr>
              <w:t>8</w:t>
            </w:r>
            <w:r w:rsidR="00FA0D3B" w:rsidRPr="00FA0D3B">
              <w:rPr>
                <w:rFonts w:eastAsia="Times New Roman"/>
                <w:color w:val="000000"/>
              </w:rPr>
              <w:t>4)</w:t>
            </w:r>
          </w:p>
        </w:tc>
        <w:tc>
          <w:tcPr>
            <w:tcW w:w="1620" w:type="dxa"/>
            <w:tcBorders>
              <w:top w:val="nil"/>
              <w:left w:val="nil"/>
              <w:bottom w:val="nil"/>
              <w:right w:val="nil"/>
            </w:tcBorders>
            <w:shd w:val="clear" w:color="auto" w:fill="auto"/>
            <w:noWrap/>
            <w:vAlign w:val="bottom"/>
            <w:hideMark/>
          </w:tcPr>
          <w:p w14:paraId="5FE41885" w14:textId="572B55E9" w:rsidR="00FA0D3B" w:rsidRPr="00FA0D3B" w:rsidRDefault="0080149E" w:rsidP="00FA0D3B">
            <w:pPr>
              <w:spacing w:line="240" w:lineRule="auto"/>
              <w:jc w:val="center"/>
              <w:rPr>
                <w:rFonts w:eastAsia="Times New Roman"/>
                <w:color w:val="000000"/>
              </w:rPr>
            </w:pPr>
            <w:r>
              <w:rPr>
                <w:rFonts w:eastAsia="Times New Roman"/>
                <w:color w:val="000000"/>
              </w:rPr>
              <w:t>68</w:t>
            </w:r>
            <w:r w:rsidR="00FA0D3B" w:rsidRPr="00FA0D3B">
              <w:rPr>
                <w:rFonts w:eastAsia="Times New Roman"/>
                <w:color w:val="000000"/>
              </w:rPr>
              <w:t>.</w:t>
            </w:r>
            <w:r>
              <w:rPr>
                <w:rFonts w:eastAsia="Times New Roman"/>
                <w:color w:val="000000"/>
              </w:rPr>
              <w:t>54</w:t>
            </w:r>
            <w:r w:rsidR="00FA0D3B" w:rsidRPr="00FA0D3B">
              <w:rPr>
                <w:rFonts w:eastAsia="Times New Roman"/>
                <w:color w:val="000000"/>
              </w:rPr>
              <w:t xml:space="preserve"> (4</w:t>
            </w:r>
            <w:r>
              <w:rPr>
                <w:rFonts w:eastAsia="Times New Roman"/>
                <w:color w:val="000000"/>
              </w:rPr>
              <w:t>9</w:t>
            </w:r>
            <w:r w:rsidR="00FA0D3B" w:rsidRPr="00FA0D3B">
              <w:rPr>
                <w:rFonts w:eastAsia="Times New Roman"/>
                <w:color w:val="000000"/>
              </w:rPr>
              <w:t>.</w:t>
            </w:r>
            <w:r>
              <w:rPr>
                <w:rFonts w:eastAsia="Times New Roman"/>
                <w:color w:val="000000"/>
              </w:rPr>
              <w:t>55</w:t>
            </w:r>
            <w:r w:rsidR="00FA0D3B"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4C8D9403" w14:textId="065D565D" w:rsidR="00FA0D3B" w:rsidRPr="00FA0D3B" w:rsidRDefault="002331FD" w:rsidP="00FA0D3B">
            <w:pPr>
              <w:spacing w:line="240" w:lineRule="auto"/>
              <w:jc w:val="center"/>
              <w:rPr>
                <w:rFonts w:eastAsia="Times New Roman"/>
                <w:color w:val="000000"/>
              </w:rPr>
            </w:pPr>
            <w:r>
              <w:rPr>
                <w:rFonts w:eastAsia="Times New Roman"/>
                <w:color w:val="000000"/>
              </w:rPr>
              <w:t>66.12</w:t>
            </w:r>
            <w:r w:rsidR="00FA0D3B" w:rsidRPr="00FA0D3B">
              <w:rPr>
                <w:rFonts w:eastAsia="Times New Roman"/>
                <w:color w:val="000000"/>
              </w:rPr>
              <w:t xml:space="preserve"> (4</w:t>
            </w:r>
            <w:r>
              <w:rPr>
                <w:rFonts w:eastAsia="Times New Roman"/>
                <w:color w:val="000000"/>
              </w:rPr>
              <w:t>9</w:t>
            </w:r>
            <w:r w:rsidR="00FA0D3B" w:rsidRPr="00FA0D3B">
              <w:rPr>
                <w:rFonts w:eastAsia="Times New Roman"/>
                <w:color w:val="000000"/>
              </w:rPr>
              <w:t>.</w:t>
            </w:r>
            <w:r>
              <w:rPr>
                <w:rFonts w:eastAsia="Times New Roman"/>
                <w:color w:val="000000"/>
              </w:rPr>
              <w:t>08</w:t>
            </w:r>
            <w:r w:rsidR="00FA0D3B"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6E740DEE" w14:textId="694942DE" w:rsidR="00FA0D3B" w:rsidRPr="00FA0D3B" w:rsidRDefault="00FA0D3B" w:rsidP="00FA0D3B">
            <w:pPr>
              <w:spacing w:line="240" w:lineRule="auto"/>
              <w:jc w:val="center"/>
              <w:rPr>
                <w:rFonts w:eastAsia="Times New Roman"/>
                <w:color w:val="000000"/>
              </w:rPr>
            </w:pPr>
            <w:r w:rsidRPr="00FA0D3B">
              <w:rPr>
                <w:rFonts w:eastAsia="Times New Roman"/>
                <w:color w:val="000000"/>
              </w:rPr>
              <w:t>6</w:t>
            </w:r>
            <w:r w:rsidR="002331FD">
              <w:rPr>
                <w:rFonts w:eastAsia="Times New Roman"/>
                <w:color w:val="000000"/>
              </w:rPr>
              <w:t>5</w:t>
            </w:r>
            <w:r w:rsidRPr="00FA0D3B">
              <w:rPr>
                <w:rFonts w:eastAsia="Times New Roman"/>
                <w:color w:val="000000"/>
              </w:rPr>
              <w:t>.7</w:t>
            </w:r>
            <w:r w:rsidR="002331FD">
              <w:rPr>
                <w:rFonts w:eastAsia="Times New Roman"/>
                <w:color w:val="000000"/>
              </w:rPr>
              <w:t>8</w:t>
            </w:r>
            <w:r w:rsidRPr="00FA0D3B">
              <w:rPr>
                <w:rFonts w:eastAsia="Times New Roman"/>
                <w:color w:val="000000"/>
              </w:rPr>
              <w:t xml:space="preserve"> (4</w:t>
            </w:r>
            <w:r w:rsidR="002331FD">
              <w:rPr>
                <w:rFonts w:eastAsia="Times New Roman"/>
                <w:color w:val="000000"/>
              </w:rPr>
              <w:t>9</w:t>
            </w:r>
            <w:r w:rsidRPr="00FA0D3B">
              <w:rPr>
                <w:rFonts w:eastAsia="Times New Roman"/>
                <w:color w:val="000000"/>
              </w:rPr>
              <w:t>.</w:t>
            </w:r>
            <w:r w:rsidR="002331FD">
              <w:rPr>
                <w:rFonts w:eastAsia="Times New Roman"/>
                <w:color w:val="000000"/>
              </w:rPr>
              <w:t>1</w:t>
            </w:r>
            <w:r w:rsidRPr="00FA0D3B">
              <w:rPr>
                <w:rFonts w:eastAsia="Times New Roman"/>
                <w:color w:val="000000"/>
              </w:rPr>
              <w:t>2)</w:t>
            </w:r>
          </w:p>
        </w:tc>
      </w:tr>
      <w:tr w:rsidR="00FA0D3B" w:rsidRPr="00FA0D3B" w14:paraId="781C1567"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4C070244" w14:textId="77777777" w:rsidR="00FA0D3B" w:rsidRPr="00FA0D3B" w:rsidRDefault="00FA0D3B" w:rsidP="00FA0D3B">
            <w:pPr>
              <w:spacing w:line="240" w:lineRule="auto"/>
              <w:jc w:val="center"/>
              <w:rPr>
                <w:rFonts w:eastAsia="Times New Roman"/>
                <w:color w:val="000000"/>
              </w:rPr>
            </w:pPr>
          </w:p>
        </w:tc>
        <w:tc>
          <w:tcPr>
            <w:tcW w:w="1570" w:type="dxa"/>
            <w:tcBorders>
              <w:top w:val="nil"/>
              <w:left w:val="nil"/>
              <w:bottom w:val="nil"/>
              <w:right w:val="nil"/>
            </w:tcBorders>
            <w:shd w:val="clear" w:color="auto" w:fill="auto"/>
            <w:noWrap/>
            <w:vAlign w:val="bottom"/>
            <w:hideMark/>
          </w:tcPr>
          <w:p w14:paraId="43EEB7F4" w14:textId="77777777" w:rsidR="00FA0D3B" w:rsidRPr="00FA0D3B" w:rsidRDefault="00FA0D3B" w:rsidP="00FA0D3B">
            <w:pPr>
              <w:spacing w:line="240" w:lineRule="auto"/>
              <w:rPr>
                <w:rFonts w:eastAsia="Times New Roman"/>
                <w:sz w:val="20"/>
                <w:szCs w:val="20"/>
              </w:rPr>
            </w:pPr>
          </w:p>
        </w:tc>
        <w:tc>
          <w:tcPr>
            <w:tcW w:w="1710" w:type="dxa"/>
            <w:tcBorders>
              <w:top w:val="nil"/>
              <w:left w:val="nil"/>
              <w:bottom w:val="nil"/>
              <w:right w:val="nil"/>
            </w:tcBorders>
            <w:shd w:val="clear" w:color="auto" w:fill="auto"/>
            <w:noWrap/>
            <w:vAlign w:val="bottom"/>
            <w:hideMark/>
          </w:tcPr>
          <w:p w14:paraId="3813EFE5" w14:textId="77777777" w:rsidR="00FA0D3B" w:rsidRPr="00FA0D3B" w:rsidRDefault="00FA0D3B" w:rsidP="00FA0D3B">
            <w:pPr>
              <w:spacing w:line="240" w:lineRule="auto"/>
              <w:jc w:val="center"/>
              <w:rPr>
                <w:rFonts w:eastAsia="Times New Roman"/>
                <w:sz w:val="20"/>
                <w:szCs w:val="20"/>
              </w:rPr>
            </w:pPr>
          </w:p>
        </w:tc>
        <w:tc>
          <w:tcPr>
            <w:tcW w:w="1620" w:type="dxa"/>
            <w:tcBorders>
              <w:top w:val="nil"/>
              <w:left w:val="nil"/>
              <w:bottom w:val="nil"/>
              <w:right w:val="nil"/>
            </w:tcBorders>
            <w:shd w:val="clear" w:color="auto" w:fill="auto"/>
            <w:noWrap/>
            <w:vAlign w:val="bottom"/>
            <w:hideMark/>
          </w:tcPr>
          <w:p w14:paraId="6FE6FF60" w14:textId="77777777" w:rsidR="00FA0D3B" w:rsidRPr="00FA0D3B" w:rsidRDefault="00FA0D3B" w:rsidP="00FA0D3B">
            <w:pPr>
              <w:spacing w:line="240" w:lineRule="auto"/>
              <w:jc w:val="center"/>
              <w:rPr>
                <w:rFonts w:eastAsia="Times New Roman"/>
                <w:sz w:val="20"/>
                <w:szCs w:val="20"/>
              </w:rPr>
            </w:pPr>
          </w:p>
        </w:tc>
        <w:tc>
          <w:tcPr>
            <w:tcW w:w="1800" w:type="dxa"/>
            <w:tcBorders>
              <w:top w:val="nil"/>
              <w:left w:val="nil"/>
              <w:bottom w:val="nil"/>
              <w:right w:val="nil"/>
            </w:tcBorders>
            <w:shd w:val="clear" w:color="auto" w:fill="auto"/>
            <w:noWrap/>
            <w:vAlign w:val="bottom"/>
            <w:hideMark/>
          </w:tcPr>
          <w:p w14:paraId="0BE00841" w14:textId="77777777" w:rsidR="00FA0D3B" w:rsidRPr="00FA0D3B" w:rsidRDefault="00FA0D3B" w:rsidP="00FA0D3B">
            <w:pPr>
              <w:spacing w:line="240" w:lineRule="auto"/>
              <w:jc w:val="center"/>
              <w:rPr>
                <w:rFonts w:eastAsia="Times New Roman"/>
                <w:sz w:val="20"/>
                <w:szCs w:val="20"/>
              </w:rPr>
            </w:pPr>
          </w:p>
        </w:tc>
        <w:tc>
          <w:tcPr>
            <w:tcW w:w="1800" w:type="dxa"/>
            <w:tcBorders>
              <w:top w:val="nil"/>
              <w:left w:val="nil"/>
              <w:bottom w:val="nil"/>
              <w:right w:val="nil"/>
            </w:tcBorders>
            <w:shd w:val="clear" w:color="auto" w:fill="auto"/>
            <w:noWrap/>
            <w:vAlign w:val="bottom"/>
            <w:hideMark/>
          </w:tcPr>
          <w:p w14:paraId="2CA95B30" w14:textId="77777777" w:rsidR="00FA0D3B" w:rsidRPr="00FA0D3B" w:rsidRDefault="00FA0D3B" w:rsidP="00FA0D3B">
            <w:pPr>
              <w:spacing w:line="240" w:lineRule="auto"/>
              <w:jc w:val="center"/>
              <w:rPr>
                <w:rFonts w:eastAsia="Times New Roman"/>
                <w:sz w:val="20"/>
                <w:szCs w:val="20"/>
              </w:rPr>
            </w:pPr>
          </w:p>
        </w:tc>
      </w:tr>
      <w:tr w:rsidR="00FA0D3B" w:rsidRPr="00FA0D3B" w14:paraId="1C459923"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686E0FDE" w14:textId="77777777" w:rsidR="00FA0D3B" w:rsidRPr="00FA0D3B" w:rsidRDefault="00FA0D3B" w:rsidP="00FA0D3B">
            <w:pPr>
              <w:spacing w:line="240" w:lineRule="auto"/>
              <w:rPr>
                <w:rFonts w:eastAsia="Times New Roman"/>
                <w:color w:val="000000"/>
              </w:rPr>
            </w:pPr>
            <w:r w:rsidRPr="00FA0D3B">
              <w:rPr>
                <w:rFonts w:eastAsia="Times New Roman"/>
                <w:color w:val="000000"/>
              </w:rPr>
              <w:t>N</w:t>
            </w:r>
          </w:p>
        </w:tc>
        <w:tc>
          <w:tcPr>
            <w:tcW w:w="1570" w:type="dxa"/>
            <w:tcBorders>
              <w:top w:val="nil"/>
              <w:left w:val="nil"/>
              <w:bottom w:val="nil"/>
              <w:right w:val="nil"/>
            </w:tcBorders>
            <w:shd w:val="clear" w:color="auto" w:fill="auto"/>
            <w:noWrap/>
            <w:vAlign w:val="bottom"/>
            <w:hideMark/>
          </w:tcPr>
          <w:p w14:paraId="6163B6C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457</w:t>
            </w:r>
          </w:p>
        </w:tc>
        <w:tc>
          <w:tcPr>
            <w:tcW w:w="1710" w:type="dxa"/>
            <w:tcBorders>
              <w:top w:val="nil"/>
              <w:left w:val="nil"/>
              <w:bottom w:val="nil"/>
              <w:right w:val="nil"/>
            </w:tcBorders>
            <w:shd w:val="clear" w:color="auto" w:fill="auto"/>
            <w:noWrap/>
            <w:vAlign w:val="bottom"/>
            <w:hideMark/>
          </w:tcPr>
          <w:p w14:paraId="4968B9A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457</w:t>
            </w:r>
          </w:p>
        </w:tc>
        <w:tc>
          <w:tcPr>
            <w:tcW w:w="1620" w:type="dxa"/>
            <w:tcBorders>
              <w:top w:val="nil"/>
              <w:left w:val="nil"/>
              <w:bottom w:val="nil"/>
              <w:right w:val="nil"/>
            </w:tcBorders>
            <w:shd w:val="clear" w:color="auto" w:fill="auto"/>
            <w:noWrap/>
            <w:vAlign w:val="bottom"/>
            <w:hideMark/>
          </w:tcPr>
          <w:p w14:paraId="51A80E91"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457</w:t>
            </w:r>
          </w:p>
        </w:tc>
        <w:tc>
          <w:tcPr>
            <w:tcW w:w="1800" w:type="dxa"/>
            <w:tcBorders>
              <w:top w:val="nil"/>
              <w:left w:val="nil"/>
              <w:bottom w:val="nil"/>
              <w:right w:val="nil"/>
            </w:tcBorders>
            <w:shd w:val="clear" w:color="auto" w:fill="auto"/>
            <w:noWrap/>
            <w:vAlign w:val="bottom"/>
            <w:hideMark/>
          </w:tcPr>
          <w:p w14:paraId="3743C005"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457</w:t>
            </w:r>
          </w:p>
        </w:tc>
        <w:tc>
          <w:tcPr>
            <w:tcW w:w="1800" w:type="dxa"/>
            <w:tcBorders>
              <w:top w:val="nil"/>
              <w:left w:val="nil"/>
              <w:bottom w:val="nil"/>
              <w:right w:val="nil"/>
            </w:tcBorders>
            <w:shd w:val="clear" w:color="auto" w:fill="auto"/>
            <w:noWrap/>
            <w:vAlign w:val="bottom"/>
            <w:hideMark/>
          </w:tcPr>
          <w:p w14:paraId="3D2A5682"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457</w:t>
            </w:r>
          </w:p>
        </w:tc>
      </w:tr>
      <w:tr w:rsidR="00FA0D3B" w:rsidRPr="00FA0D3B" w14:paraId="257D3393" w14:textId="77777777" w:rsidTr="00C278A1">
        <w:trPr>
          <w:trHeight w:val="315"/>
          <w:jc w:val="center"/>
        </w:trPr>
        <w:tc>
          <w:tcPr>
            <w:tcW w:w="2660" w:type="dxa"/>
            <w:tcBorders>
              <w:top w:val="nil"/>
              <w:left w:val="nil"/>
              <w:bottom w:val="nil"/>
              <w:right w:val="nil"/>
            </w:tcBorders>
            <w:shd w:val="clear" w:color="auto" w:fill="auto"/>
            <w:noWrap/>
            <w:vAlign w:val="bottom"/>
            <w:hideMark/>
          </w:tcPr>
          <w:p w14:paraId="35109A60" w14:textId="77777777" w:rsidR="00FA0D3B" w:rsidRPr="00FA0D3B" w:rsidRDefault="00FA0D3B" w:rsidP="00FA0D3B">
            <w:pPr>
              <w:spacing w:line="240" w:lineRule="auto"/>
              <w:rPr>
                <w:rFonts w:eastAsia="Times New Roman"/>
                <w:color w:val="000000"/>
              </w:rPr>
            </w:pPr>
            <w:r w:rsidRPr="00FA0D3B">
              <w:rPr>
                <w:rFonts w:eastAsia="Times New Roman"/>
                <w:color w:val="000000"/>
              </w:rPr>
              <w:t>Districts</w:t>
            </w:r>
          </w:p>
        </w:tc>
        <w:tc>
          <w:tcPr>
            <w:tcW w:w="1570" w:type="dxa"/>
            <w:tcBorders>
              <w:top w:val="nil"/>
              <w:left w:val="nil"/>
              <w:bottom w:val="nil"/>
              <w:right w:val="nil"/>
            </w:tcBorders>
            <w:shd w:val="clear" w:color="auto" w:fill="auto"/>
            <w:noWrap/>
            <w:vAlign w:val="bottom"/>
            <w:hideMark/>
          </w:tcPr>
          <w:p w14:paraId="58FF135D"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90</w:t>
            </w:r>
          </w:p>
        </w:tc>
        <w:tc>
          <w:tcPr>
            <w:tcW w:w="1710" w:type="dxa"/>
            <w:tcBorders>
              <w:top w:val="nil"/>
              <w:left w:val="nil"/>
              <w:bottom w:val="nil"/>
              <w:right w:val="nil"/>
            </w:tcBorders>
            <w:shd w:val="clear" w:color="auto" w:fill="auto"/>
            <w:noWrap/>
            <w:vAlign w:val="bottom"/>
            <w:hideMark/>
          </w:tcPr>
          <w:p w14:paraId="4C96C35B"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90</w:t>
            </w:r>
          </w:p>
        </w:tc>
        <w:tc>
          <w:tcPr>
            <w:tcW w:w="1620" w:type="dxa"/>
            <w:tcBorders>
              <w:top w:val="nil"/>
              <w:left w:val="nil"/>
              <w:bottom w:val="nil"/>
              <w:right w:val="nil"/>
            </w:tcBorders>
            <w:shd w:val="clear" w:color="auto" w:fill="auto"/>
            <w:noWrap/>
            <w:vAlign w:val="bottom"/>
            <w:hideMark/>
          </w:tcPr>
          <w:p w14:paraId="4ED15B77"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90</w:t>
            </w:r>
          </w:p>
        </w:tc>
        <w:tc>
          <w:tcPr>
            <w:tcW w:w="1800" w:type="dxa"/>
            <w:tcBorders>
              <w:top w:val="nil"/>
              <w:left w:val="nil"/>
              <w:bottom w:val="nil"/>
              <w:right w:val="nil"/>
            </w:tcBorders>
            <w:shd w:val="clear" w:color="auto" w:fill="auto"/>
            <w:noWrap/>
            <w:vAlign w:val="bottom"/>
            <w:hideMark/>
          </w:tcPr>
          <w:p w14:paraId="50AEC32A"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90</w:t>
            </w:r>
          </w:p>
        </w:tc>
        <w:tc>
          <w:tcPr>
            <w:tcW w:w="1800" w:type="dxa"/>
            <w:tcBorders>
              <w:top w:val="nil"/>
              <w:left w:val="nil"/>
              <w:bottom w:val="nil"/>
              <w:right w:val="nil"/>
            </w:tcBorders>
            <w:shd w:val="clear" w:color="auto" w:fill="auto"/>
            <w:noWrap/>
            <w:vAlign w:val="bottom"/>
            <w:hideMark/>
          </w:tcPr>
          <w:p w14:paraId="5B82016A" w14:textId="77777777" w:rsidR="00FA0D3B" w:rsidRPr="00FA0D3B" w:rsidRDefault="00FA0D3B" w:rsidP="00FA0D3B">
            <w:pPr>
              <w:spacing w:line="240" w:lineRule="auto"/>
              <w:jc w:val="center"/>
              <w:rPr>
                <w:rFonts w:eastAsia="Times New Roman"/>
                <w:color w:val="000000"/>
              </w:rPr>
            </w:pPr>
            <w:r w:rsidRPr="00FA0D3B">
              <w:rPr>
                <w:rFonts w:eastAsia="Times New Roman"/>
                <w:color w:val="000000"/>
              </w:rPr>
              <w:t>90</w:t>
            </w:r>
          </w:p>
        </w:tc>
      </w:tr>
      <w:tr w:rsidR="00FA0D3B" w:rsidRPr="00FA0D3B" w14:paraId="14F423CC" w14:textId="77777777" w:rsidTr="00C278A1">
        <w:trPr>
          <w:trHeight w:val="375"/>
          <w:jc w:val="center"/>
        </w:trPr>
        <w:tc>
          <w:tcPr>
            <w:tcW w:w="2660" w:type="dxa"/>
            <w:tcBorders>
              <w:top w:val="nil"/>
              <w:left w:val="nil"/>
              <w:bottom w:val="nil"/>
              <w:right w:val="nil"/>
            </w:tcBorders>
            <w:shd w:val="clear" w:color="auto" w:fill="auto"/>
            <w:noWrap/>
            <w:vAlign w:val="bottom"/>
            <w:hideMark/>
          </w:tcPr>
          <w:p w14:paraId="4F304FBD" w14:textId="77777777" w:rsidR="00FA0D3B" w:rsidRPr="00FA0D3B" w:rsidRDefault="00FA0D3B" w:rsidP="00FA0D3B">
            <w:pPr>
              <w:spacing w:line="240" w:lineRule="auto"/>
              <w:rPr>
                <w:rFonts w:eastAsia="Times New Roman"/>
                <w:color w:val="000000"/>
              </w:rPr>
            </w:pPr>
            <w:r w:rsidRPr="00FA0D3B">
              <w:rPr>
                <w:rFonts w:eastAsia="Times New Roman"/>
                <w:color w:val="000000"/>
              </w:rPr>
              <w:t>Wald χ</w:t>
            </w:r>
            <w:r w:rsidRPr="00FA0D3B">
              <w:rPr>
                <w:rFonts w:eastAsia="Times New Roman"/>
                <w:color w:val="000000"/>
                <w:vertAlign w:val="superscript"/>
              </w:rPr>
              <w:t>2</w:t>
            </w:r>
          </w:p>
        </w:tc>
        <w:tc>
          <w:tcPr>
            <w:tcW w:w="1570" w:type="dxa"/>
            <w:tcBorders>
              <w:top w:val="nil"/>
              <w:left w:val="nil"/>
              <w:bottom w:val="nil"/>
              <w:right w:val="nil"/>
            </w:tcBorders>
            <w:shd w:val="clear" w:color="auto" w:fill="auto"/>
            <w:noWrap/>
            <w:vAlign w:val="bottom"/>
            <w:hideMark/>
          </w:tcPr>
          <w:p w14:paraId="0B6FEE7D" w14:textId="532E5296" w:rsidR="00FA0D3B" w:rsidRPr="00FA0D3B" w:rsidRDefault="00FA0D3B" w:rsidP="00FA0D3B">
            <w:pPr>
              <w:spacing w:line="240" w:lineRule="auto"/>
              <w:jc w:val="center"/>
              <w:rPr>
                <w:rFonts w:eastAsia="Times New Roman"/>
                <w:color w:val="000000"/>
              </w:rPr>
            </w:pPr>
            <w:r w:rsidRPr="00FA0D3B">
              <w:rPr>
                <w:rFonts w:eastAsia="Times New Roman"/>
                <w:color w:val="000000"/>
              </w:rPr>
              <w:t>2</w:t>
            </w:r>
            <w:r w:rsidR="0080149E">
              <w:rPr>
                <w:rFonts w:eastAsia="Times New Roman"/>
                <w:color w:val="000000"/>
              </w:rPr>
              <w:t>8</w:t>
            </w:r>
            <w:r w:rsidRPr="00FA0D3B">
              <w:rPr>
                <w:rFonts w:eastAsia="Times New Roman"/>
                <w:color w:val="000000"/>
              </w:rPr>
              <w:t>.</w:t>
            </w:r>
            <w:r w:rsidR="0080149E">
              <w:rPr>
                <w:rFonts w:eastAsia="Times New Roman"/>
                <w:color w:val="000000"/>
              </w:rPr>
              <w:t>27</w:t>
            </w:r>
            <w:r w:rsidRPr="00FA0D3B">
              <w:rPr>
                <w:rFonts w:eastAsia="Times New Roman"/>
                <w:color w:val="000000"/>
              </w:rPr>
              <w:t xml:space="preserve"> (0.00)</w:t>
            </w:r>
          </w:p>
        </w:tc>
        <w:tc>
          <w:tcPr>
            <w:tcW w:w="1710" w:type="dxa"/>
            <w:tcBorders>
              <w:top w:val="nil"/>
              <w:left w:val="nil"/>
              <w:bottom w:val="nil"/>
              <w:right w:val="nil"/>
            </w:tcBorders>
            <w:shd w:val="clear" w:color="auto" w:fill="auto"/>
            <w:noWrap/>
            <w:vAlign w:val="bottom"/>
            <w:hideMark/>
          </w:tcPr>
          <w:p w14:paraId="601CE94E" w14:textId="68EA2B09" w:rsidR="00FA0D3B" w:rsidRPr="00FA0D3B" w:rsidRDefault="00FA0D3B" w:rsidP="00FA0D3B">
            <w:pPr>
              <w:spacing w:line="240" w:lineRule="auto"/>
              <w:jc w:val="center"/>
              <w:rPr>
                <w:rFonts w:eastAsia="Times New Roman"/>
                <w:color w:val="000000"/>
              </w:rPr>
            </w:pPr>
            <w:r w:rsidRPr="00FA0D3B">
              <w:rPr>
                <w:rFonts w:eastAsia="Times New Roman"/>
                <w:color w:val="000000"/>
              </w:rPr>
              <w:t>2</w:t>
            </w:r>
            <w:r w:rsidR="0080149E">
              <w:rPr>
                <w:rFonts w:eastAsia="Times New Roman"/>
                <w:color w:val="000000"/>
              </w:rPr>
              <w:t>9</w:t>
            </w:r>
            <w:r w:rsidRPr="00FA0D3B">
              <w:rPr>
                <w:rFonts w:eastAsia="Times New Roman"/>
                <w:color w:val="000000"/>
              </w:rPr>
              <w:t>.</w:t>
            </w:r>
            <w:r w:rsidR="0080149E">
              <w:rPr>
                <w:rFonts w:eastAsia="Times New Roman"/>
                <w:color w:val="000000"/>
              </w:rPr>
              <w:t>16</w:t>
            </w:r>
            <w:r w:rsidRPr="00FA0D3B">
              <w:rPr>
                <w:rFonts w:eastAsia="Times New Roman"/>
                <w:color w:val="000000"/>
              </w:rPr>
              <w:t xml:space="preserve"> (0.00)</w:t>
            </w:r>
          </w:p>
        </w:tc>
        <w:tc>
          <w:tcPr>
            <w:tcW w:w="1620" w:type="dxa"/>
            <w:tcBorders>
              <w:top w:val="nil"/>
              <w:left w:val="nil"/>
              <w:bottom w:val="nil"/>
              <w:right w:val="nil"/>
            </w:tcBorders>
            <w:shd w:val="clear" w:color="auto" w:fill="auto"/>
            <w:noWrap/>
            <w:vAlign w:val="bottom"/>
            <w:hideMark/>
          </w:tcPr>
          <w:p w14:paraId="502F4281" w14:textId="644ECC59" w:rsidR="00FA0D3B" w:rsidRPr="00FA0D3B" w:rsidRDefault="00FA0D3B" w:rsidP="00FA0D3B">
            <w:pPr>
              <w:spacing w:line="240" w:lineRule="auto"/>
              <w:jc w:val="center"/>
              <w:rPr>
                <w:rFonts w:eastAsia="Times New Roman"/>
                <w:color w:val="000000"/>
              </w:rPr>
            </w:pPr>
            <w:r w:rsidRPr="00FA0D3B">
              <w:rPr>
                <w:rFonts w:eastAsia="Times New Roman"/>
                <w:color w:val="000000"/>
              </w:rPr>
              <w:t>2</w:t>
            </w:r>
            <w:r w:rsidR="0080149E">
              <w:rPr>
                <w:rFonts w:eastAsia="Times New Roman"/>
                <w:color w:val="000000"/>
              </w:rPr>
              <w:t>6</w:t>
            </w:r>
            <w:r w:rsidRPr="00FA0D3B">
              <w:rPr>
                <w:rFonts w:eastAsia="Times New Roman"/>
                <w:color w:val="000000"/>
              </w:rPr>
              <w:t>.</w:t>
            </w:r>
            <w:r w:rsidR="0080149E">
              <w:rPr>
                <w:rFonts w:eastAsia="Times New Roman"/>
                <w:color w:val="000000"/>
              </w:rPr>
              <w:t>91</w:t>
            </w:r>
            <w:r w:rsidRPr="00FA0D3B">
              <w:rPr>
                <w:rFonts w:eastAsia="Times New Roman"/>
                <w:color w:val="000000"/>
              </w:rPr>
              <w:t xml:space="preserve"> (0.00)</w:t>
            </w:r>
          </w:p>
        </w:tc>
        <w:tc>
          <w:tcPr>
            <w:tcW w:w="1800" w:type="dxa"/>
            <w:tcBorders>
              <w:top w:val="nil"/>
              <w:left w:val="nil"/>
              <w:bottom w:val="nil"/>
              <w:right w:val="nil"/>
            </w:tcBorders>
            <w:shd w:val="clear" w:color="auto" w:fill="auto"/>
            <w:noWrap/>
            <w:vAlign w:val="bottom"/>
            <w:hideMark/>
          </w:tcPr>
          <w:p w14:paraId="401741A7" w14:textId="7A283A88" w:rsidR="00FA0D3B" w:rsidRPr="00FA0D3B" w:rsidRDefault="002331FD" w:rsidP="00FA0D3B">
            <w:pPr>
              <w:spacing w:line="240" w:lineRule="auto"/>
              <w:jc w:val="center"/>
              <w:rPr>
                <w:rFonts w:eastAsia="Times New Roman"/>
                <w:color w:val="000000"/>
              </w:rPr>
            </w:pPr>
            <w:r>
              <w:rPr>
                <w:rFonts w:eastAsia="Times New Roman"/>
                <w:color w:val="000000"/>
              </w:rPr>
              <w:t>27.62</w:t>
            </w:r>
            <w:r w:rsidR="00FA0D3B" w:rsidRPr="00FA0D3B">
              <w:rPr>
                <w:rFonts w:eastAsia="Times New Roman"/>
                <w:color w:val="000000"/>
              </w:rPr>
              <w:t xml:space="preserve"> (0.0</w:t>
            </w:r>
            <w:r>
              <w:rPr>
                <w:rFonts w:eastAsia="Times New Roman"/>
                <w:color w:val="000000"/>
              </w:rPr>
              <w:t>0</w:t>
            </w:r>
            <w:r w:rsidR="00FA0D3B" w:rsidRPr="00FA0D3B">
              <w:rPr>
                <w:rFonts w:eastAsia="Times New Roman"/>
                <w:color w:val="000000"/>
              </w:rPr>
              <w:t>)</w:t>
            </w:r>
          </w:p>
        </w:tc>
        <w:tc>
          <w:tcPr>
            <w:tcW w:w="1800" w:type="dxa"/>
            <w:tcBorders>
              <w:top w:val="nil"/>
              <w:left w:val="nil"/>
              <w:bottom w:val="nil"/>
              <w:right w:val="nil"/>
            </w:tcBorders>
            <w:shd w:val="clear" w:color="auto" w:fill="auto"/>
            <w:noWrap/>
            <w:vAlign w:val="bottom"/>
            <w:hideMark/>
          </w:tcPr>
          <w:p w14:paraId="573E87FF" w14:textId="745A6A04" w:rsidR="00FA0D3B" w:rsidRPr="00FA0D3B" w:rsidRDefault="002331FD" w:rsidP="00FA0D3B">
            <w:pPr>
              <w:spacing w:line="240" w:lineRule="auto"/>
              <w:jc w:val="center"/>
              <w:rPr>
                <w:rFonts w:eastAsia="Times New Roman"/>
                <w:color w:val="000000"/>
              </w:rPr>
            </w:pPr>
            <w:r>
              <w:rPr>
                <w:rFonts w:eastAsia="Times New Roman"/>
                <w:color w:val="000000"/>
              </w:rPr>
              <w:t>30.18</w:t>
            </w:r>
            <w:r w:rsidR="00FA0D3B" w:rsidRPr="00FA0D3B">
              <w:rPr>
                <w:rFonts w:eastAsia="Times New Roman"/>
                <w:color w:val="000000"/>
              </w:rPr>
              <w:t xml:space="preserve"> (0.00)</w:t>
            </w:r>
          </w:p>
        </w:tc>
      </w:tr>
      <w:tr w:rsidR="00FA0D3B" w:rsidRPr="00FA0D3B" w14:paraId="393FEEC0" w14:textId="77777777" w:rsidTr="00C278A1">
        <w:trPr>
          <w:trHeight w:val="315"/>
          <w:jc w:val="center"/>
        </w:trPr>
        <w:tc>
          <w:tcPr>
            <w:tcW w:w="2660" w:type="dxa"/>
            <w:tcBorders>
              <w:top w:val="nil"/>
              <w:left w:val="nil"/>
              <w:bottom w:val="single" w:sz="4" w:space="0" w:color="auto"/>
              <w:right w:val="nil"/>
            </w:tcBorders>
            <w:shd w:val="clear" w:color="auto" w:fill="auto"/>
            <w:noWrap/>
            <w:vAlign w:val="bottom"/>
            <w:hideMark/>
          </w:tcPr>
          <w:p w14:paraId="750DFAA2" w14:textId="77777777" w:rsidR="00FA0D3B" w:rsidRPr="00FA0D3B" w:rsidRDefault="00FA0D3B" w:rsidP="00FA0D3B">
            <w:pPr>
              <w:spacing w:line="240" w:lineRule="auto"/>
              <w:rPr>
                <w:rFonts w:eastAsia="Times New Roman"/>
                <w:color w:val="000000"/>
              </w:rPr>
            </w:pPr>
            <w:r w:rsidRPr="00FA0D3B">
              <w:rPr>
                <w:rFonts w:eastAsia="Times New Roman"/>
                <w:color w:val="000000"/>
              </w:rPr>
              <w:t>Area under ROC</w:t>
            </w:r>
          </w:p>
        </w:tc>
        <w:tc>
          <w:tcPr>
            <w:tcW w:w="1570" w:type="dxa"/>
            <w:tcBorders>
              <w:top w:val="nil"/>
              <w:left w:val="nil"/>
              <w:bottom w:val="single" w:sz="4" w:space="0" w:color="auto"/>
              <w:right w:val="nil"/>
            </w:tcBorders>
            <w:shd w:val="clear" w:color="auto" w:fill="auto"/>
            <w:noWrap/>
            <w:vAlign w:val="bottom"/>
            <w:hideMark/>
          </w:tcPr>
          <w:p w14:paraId="34551B87" w14:textId="4BA209F9" w:rsidR="00FA0D3B" w:rsidRPr="00FA0D3B" w:rsidRDefault="00FA0D3B" w:rsidP="00FA0D3B">
            <w:pPr>
              <w:spacing w:line="240" w:lineRule="auto"/>
              <w:jc w:val="center"/>
              <w:rPr>
                <w:rFonts w:eastAsia="Times New Roman"/>
                <w:color w:val="000000"/>
              </w:rPr>
            </w:pPr>
            <w:r w:rsidRPr="00FA0D3B">
              <w:rPr>
                <w:rFonts w:eastAsia="Times New Roman"/>
                <w:color w:val="000000"/>
              </w:rPr>
              <w:t>0.7</w:t>
            </w:r>
            <w:r w:rsidR="002331FD">
              <w:rPr>
                <w:rFonts w:eastAsia="Times New Roman"/>
                <w:color w:val="000000"/>
              </w:rPr>
              <w:t>2</w:t>
            </w:r>
          </w:p>
        </w:tc>
        <w:tc>
          <w:tcPr>
            <w:tcW w:w="1710" w:type="dxa"/>
            <w:tcBorders>
              <w:top w:val="nil"/>
              <w:left w:val="nil"/>
              <w:bottom w:val="single" w:sz="4" w:space="0" w:color="auto"/>
              <w:right w:val="nil"/>
            </w:tcBorders>
            <w:shd w:val="clear" w:color="auto" w:fill="auto"/>
            <w:noWrap/>
            <w:vAlign w:val="bottom"/>
            <w:hideMark/>
          </w:tcPr>
          <w:p w14:paraId="400DDB7E" w14:textId="22656C4D" w:rsidR="00FA0D3B" w:rsidRPr="00FA0D3B" w:rsidRDefault="00FA0D3B" w:rsidP="00FA0D3B">
            <w:pPr>
              <w:spacing w:line="240" w:lineRule="auto"/>
              <w:jc w:val="center"/>
              <w:rPr>
                <w:rFonts w:eastAsia="Times New Roman"/>
                <w:color w:val="000000"/>
              </w:rPr>
            </w:pPr>
            <w:r w:rsidRPr="00FA0D3B">
              <w:rPr>
                <w:rFonts w:eastAsia="Times New Roman"/>
                <w:color w:val="000000"/>
              </w:rPr>
              <w:t>0.</w:t>
            </w:r>
            <w:r w:rsidR="002331FD" w:rsidRPr="00FA0D3B">
              <w:rPr>
                <w:rFonts w:eastAsia="Times New Roman"/>
                <w:color w:val="000000"/>
              </w:rPr>
              <w:t>6</w:t>
            </w:r>
            <w:r w:rsidR="002331FD">
              <w:rPr>
                <w:rFonts w:eastAsia="Times New Roman"/>
                <w:color w:val="000000"/>
              </w:rPr>
              <w:t>9</w:t>
            </w:r>
          </w:p>
        </w:tc>
        <w:tc>
          <w:tcPr>
            <w:tcW w:w="1620" w:type="dxa"/>
            <w:tcBorders>
              <w:top w:val="nil"/>
              <w:left w:val="nil"/>
              <w:bottom w:val="single" w:sz="4" w:space="0" w:color="auto"/>
              <w:right w:val="nil"/>
            </w:tcBorders>
            <w:shd w:val="clear" w:color="auto" w:fill="auto"/>
            <w:noWrap/>
            <w:vAlign w:val="bottom"/>
            <w:hideMark/>
          </w:tcPr>
          <w:p w14:paraId="6EAA3541" w14:textId="27F88D75" w:rsidR="00FA0D3B" w:rsidRPr="00FA0D3B" w:rsidRDefault="00FA0D3B" w:rsidP="00FA0D3B">
            <w:pPr>
              <w:spacing w:line="240" w:lineRule="auto"/>
              <w:jc w:val="center"/>
              <w:rPr>
                <w:rFonts w:eastAsia="Times New Roman"/>
                <w:color w:val="000000"/>
              </w:rPr>
            </w:pPr>
            <w:r w:rsidRPr="00FA0D3B">
              <w:rPr>
                <w:rFonts w:eastAsia="Times New Roman"/>
                <w:color w:val="000000"/>
              </w:rPr>
              <w:t>0.6</w:t>
            </w:r>
            <w:r w:rsidR="002331FD">
              <w:rPr>
                <w:rFonts w:eastAsia="Times New Roman"/>
                <w:color w:val="000000"/>
              </w:rPr>
              <w:t>9</w:t>
            </w:r>
          </w:p>
        </w:tc>
        <w:tc>
          <w:tcPr>
            <w:tcW w:w="1800" w:type="dxa"/>
            <w:tcBorders>
              <w:top w:val="nil"/>
              <w:left w:val="nil"/>
              <w:bottom w:val="single" w:sz="4" w:space="0" w:color="auto"/>
              <w:right w:val="nil"/>
            </w:tcBorders>
            <w:shd w:val="clear" w:color="auto" w:fill="auto"/>
            <w:noWrap/>
            <w:vAlign w:val="bottom"/>
            <w:hideMark/>
          </w:tcPr>
          <w:p w14:paraId="12C9FF91" w14:textId="05577FEC" w:rsidR="00FA0D3B" w:rsidRPr="00FA0D3B" w:rsidRDefault="00FA0D3B" w:rsidP="00FA0D3B">
            <w:pPr>
              <w:spacing w:line="240" w:lineRule="auto"/>
              <w:jc w:val="center"/>
              <w:rPr>
                <w:rFonts w:eastAsia="Times New Roman"/>
                <w:color w:val="000000"/>
              </w:rPr>
            </w:pPr>
            <w:r w:rsidRPr="00FA0D3B">
              <w:rPr>
                <w:rFonts w:eastAsia="Times New Roman"/>
                <w:color w:val="000000"/>
              </w:rPr>
              <w:t>0.6</w:t>
            </w:r>
            <w:r w:rsidR="002331FD">
              <w:rPr>
                <w:rFonts w:eastAsia="Times New Roman"/>
                <w:color w:val="000000"/>
              </w:rPr>
              <w:t>9</w:t>
            </w:r>
          </w:p>
        </w:tc>
        <w:tc>
          <w:tcPr>
            <w:tcW w:w="1800" w:type="dxa"/>
            <w:tcBorders>
              <w:top w:val="nil"/>
              <w:left w:val="nil"/>
              <w:bottom w:val="single" w:sz="4" w:space="0" w:color="auto"/>
              <w:right w:val="nil"/>
            </w:tcBorders>
            <w:shd w:val="clear" w:color="auto" w:fill="auto"/>
            <w:noWrap/>
            <w:vAlign w:val="bottom"/>
            <w:hideMark/>
          </w:tcPr>
          <w:p w14:paraId="6A5E2861" w14:textId="08D33FFA" w:rsidR="00FA0D3B" w:rsidRPr="00FA0D3B" w:rsidRDefault="00FA0D3B" w:rsidP="00FA0D3B">
            <w:pPr>
              <w:spacing w:line="240" w:lineRule="auto"/>
              <w:jc w:val="center"/>
              <w:rPr>
                <w:rFonts w:eastAsia="Times New Roman"/>
                <w:color w:val="000000"/>
              </w:rPr>
            </w:pPr>
            <w:r w:rsidRPr="00FA0D3B">
              <w:rPr>
                <w:rFonts w:eastAsia="Times New Roman"/>
                <w:color w:val="000000"/>
              </w:rPr>
              <w:t>0.6</w:t>
            </w:r>
            <w:r w:rsidR="002331FD">
              <w:rPr>
                <w:rFonts w:eastAsia="Times New Roman"/>
                <w:color w:val="000000"/>
              </w:rPr>
              <w:t>9</w:t>
            </w:r>
          </w:p>
        </w:tc>
      </w:tr>
    </w:tbl>
    <w:p w14:paraId="65DFC5CC" w14:textId="1494DF94" w:rsidR="00052A11" w:rsidRDefault="001044A2" w:rsidP="00E029C2">
      <w:pPr>
        <w:spacing w:line="240" w:lineRule="auto"/>
      </w:pPr>
      <w:r w:rsidRPr="001044A2">
        <w:t>** is statistically significant at p &lt; 0.05 (two-tailed); * is statistically significant at p &lt; 0.10 (two-tailed).</w:t>
      </w:r>
    </w:p>
    <w:p w14:paraId="2BCB4B1E" w14:textId="62273B15" w:rsidR="001044A2" w:rsidRDefault="001044A2" w:rsidP="00E029C2">
      <w:pPr>
        <w:spacing w:line="240" w:lineRule="auto"/>
      </w:pPr>
    </w:p>
    <w:p w14:paraId="16127B19" w14:textId="37D136B7" w:rsidR="001044A2" w:rsidRDefault="001044A2" w:rsidP="00E029C2">
      <w:pPr>
        <w:spacing w:line="240" w:lineRule="auto"/>
      </w:pPr>
    </w:p>
    <w:p w14:paraId="702CE85D" w14:textId="56D0FF41" w:rsidR="001044A2" w:rsidRDefault="001044A2">
      <w:r>
        <w:br w:type="page"/>
      </w:r>
    </w:p>
    <w:p w14:paraId="413D203F" w14:textId="08276746" w:rsidR="00C278A1" w:rsidRDefault="00C278A1" w:rsidP="00C278A1">
      <w:pPr>
        <w:spacing w:line="240" w:lineRule="auto"/>
        <w:jc w:val="center"/>
        <w:rPr>
          <w:b/>
        </w:rPr>
      </w:pPr>
      <w:r>
        <w:rPr>
          <w:b/>
        </w:rPr>
        <w:lastRenderedPageBreak/>
        <w:t>Table A3: Interactive Regression Models, Federal Judiciary</w:t>
      </w:r>
    </w:p>
    <w:tbl>
      <w:tblPr>
        <w:tblW w:w="10710" w:type="dxa"/>
        <w:tblInd w:w="-450" w:type="dxa"/>
        <w:tblLook w:val="04A0" w:firstRow="1" w:lastRow="0" w:firstColumn="1" w:lastColumn="0" w:noHBand="0" w:noVBand="1"/>
      </w:tblPr>
      <w:tblGrid>
        <w:gridCol w:w="2379"/>
        <w:gridCol w:w="1760"/>
        <w:gridCol w:w="1587"/>
        <w:gridCol w:w="1688"/>
        <w:gridCol w:w="1648"/>
        <w:gridCol w:w="1648"/>
      </w:tblGrid>
      <w:tr w:rsidR="00C77D5F" w:rsidRPr="00C77D5F" w14:paraId="4A6FD224" w14:textId="77777777" w:rsidTr="00C278A1">
        <w:trPr>
          <w:trHeight w:val="315"/>
        </w:trPr>
        <w:tc>
          <w:tcPr>
            <w:tcW w:w="2340" w:type="dxa"/>
            <w:tcBorders>
              <w:top w:val="single" w:sz="4" w:space="0" w:color="auto"/>
              <w:left w:val="nil"/>
              <w:bottom w:val="single" w:sz="4" w:space="0" w:color="auto"/>
              <w:right w:val="nil"/>
            </w:tcBorders>
            <w:shd w:val="clear" w:color="auto" w:fill="auto"/>
            <w:noWrap/>
            <w:vAlign w:val="bottom"/>
            <w:hideMark/>
          </w:tcPr>
          <w:p w14:paraId="5BBB7B86" w14:textId="3387C8DC" w:rsidR="00C77D5F" w:rsidRPr="00C77D5F" w:rsidRDefault="00C77D5F" w:rsidP="00C77D5F">
            <w:pPr>
              <w:spacing w:line="240" w:lineRule="auto"/>
              <w:rPr>
                <w:rFonts w:eastAsia="Times New Roman"/>
                <w:color w:val="000000"/>
              </w:rPr>
            </w:pPr>
          </w:p>
        </w:tc>
        <w:tc>
          <w:tcPr>
            <w:tcW w:w="1730" w:type="dxa"/>
            <w:tcBorders>
              <w:top w:val="single" w:sz="4" w:space="0" w:color="auto"/>
              <w:left w:val="nil"/>
              <w:bottom w:val="single" w:sz="4" w:space="0" w:color="auto"/>
              <w:right w:val="nil"/>
            </w:tcBorders>
            <w:shd w:val="clear" w:color="auto" w:fill="auto"/>
            <w:noWrap/>
            <w:vAlign w:val="bottom"/>
            <w:hideMark/>
          </w:tcPr>
          <w:p w14:paraId="427E9FEB"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Model 8</w:t>
            </w:r>
          </w:p>
        </w:tc>
        <w:tc>
          <w:tcPr>
            <w:tcW w:w="1560" w:type="dxa"/>
            <w:tcBorders>
              <w:top w:val="single" w:sz="4" w:space="0" w:color="auto"/>
              <w:left w:val="nil"/>
              <w:bottom w:val="single" w:sz="4" w:space="0" w:color="auto"/>
              <w:right w:val="nil"/>
            </w:tcBorders>
            <w:shd w:val="clear" w:color="auto" w:fill="auto"/>
            <w:noWrap/>
            <w:vAlign w:val="bottom"/>
            <w:hideMark/>
          </w:tcPr>
          <w:p w14:paraId="0EC9C4DA"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Model 9</w:t>
            </w:r>
          </w:p>
        </w:tc>
        <w:tc>
          <w:tcPr>
            <w:tcW w:w="1660" w:type="dxa"/>
            <w:tcBorders>
              <w:top w:val="single" w:sz="4" w:space="0" w:color="auto"/>
              <w:left w:val="nil"/>
              <w:bottom w:val="single" w:sz="4" w:space="0" w:color="auto"/>
              <w:right w:val="nil"/>
            </w:tcBorders>
            <w:shd w:val="clear" w:color="auto" w:fill="auto"/>
            <w:noWrap/>
            <w:vAlign w:val="bottom"/>
            <w:hideMark/>
          </w:tcPr>
          <w:p w14:paraId="6D91A7CC"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Model 10</w:t>
            </w:r>
          </w:p>
        </w:tc>
        <w:tc>
          <w:tcPr>
            <w:tcW w:w="1620" w:type="dxa"/>
            <w:tcBorders>
              <w:top w:val="single" w:sz="4" w:space="0" w:color="auto"/>
              <w:left w:val="nil"/>
              <w:bottom w:val="single" w:sz="4" w:space="0" w:color="auto"/>
              <w:right w:val="nil"/>
            </w:tcBorders>
            <w:shd w:val="clear" w:color="auto" w:fill="auto"/>
            <w:noWrap/>
            <w:vAlign w:val="bottom"/>
            <w:hideMark/>
          </w:tcPr>
          <w:p w14:paraId="07DF3DB1"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Model 11</w:t>
            </w:r>
          </w:p>
        </w:tc>
        <w:tc>
          <w:tcPr>
            <w:tcW w:w="1620" w:type="dxa"/>
            <w:tcBorders>
              <w:top w:val="single" w:sz="4" w:space="0" w:color="auto"/>
              <w:left w:val="nil"/>
              <w:bottom w:val="single" w:sz="4" w:space="0" w:color="auto"/>
              <w:right w:val="nil"/>
            </w:tcBorders>
            <w:shd w:val="clear" w:color="auto" w:fill="auto"/>
            <w:noWrap/>
            <w:vAlign w:val="bottom"/>
            <w:hideMark/>
          </w:tcPr>
          <w:p w14:paraId="1A4E5717"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Model 12</w:t>
            </w:r>
          </w:p>
        </w:tc>
      </w:tr>
      <w:tr w:rsidR="00C77D5F" w:rsidRPr="00C77D5F" w14:paraId="10CE96E6" w14:textId="77777777" w:rsidTr="00C278A1">
        <w:trPr>
          <w:trHeight w:val="315"/>
        </w:trPr>
        <w:tc>
          <w:tcPr>
            <w:tcW w:w="2340" w:type="dxa"/>
            <w:tcBorders>
              <w:top w:val="nil"/>
              <w:left w:val="nil"/>
              <w:bottom w:val="nil"/>
              <w:right w:val="nil"/>
            </w:tcBorders>
            <w:shd w:val="clear" w:color="auto" w:fill="auto"/>
            <w:noWrap/>
            <w:vAlign w:val="bottom"/>
            <w:hideMark/>
          </w:tcPr>
          <w:p w14:paraId="3EDD7F2D" w14:textId="77777777" w:rsidR="00C77D5F" w:rsidRPr="00C77D5F" w:rsidRDefault="00C77D5F" w:rsidP="00C77D5F">
            <w:pPr>
              <w:spacing w:line="240" w:lineRule="auto"/>
              <w:rPr>
                <w:rFonts w:eastAsia="Times New Roman"/>
                <w:color w:val="000000"/>
              </w:rPr>
            </w:pPr>
            <w:r w:rsidRPr="00C77D5F">
              <w:rPr>
                <w:rFonts w:eastAsia="Times New Roman"/>
                <w:color w:val="000000"/>
              </w:rPr>
              <w:t>White Male</w:t>
            </w:r>
          </w:p>
        </w:tc>
        <w:tc>
          <w:tcPr>
            <w:tcW w:w="1730" w:type="dxa"/>
            <w:tcBorders>
              <w:top w:val="nil"/>
              <w:left w:val="nil"/>
              <w:bottom w:val="nil"/>
              <w:right w:val="nil"/>
            </w:tcBorders>
            <w:shd w:val="clear" w:color="auto" w:fill="auto"/>
            <w:noWrap/>
            <w:vAlign w:val="bottom"/>
            <w:hideMark/>
          </w:tcPr>
          <w:p w14:paraId="5264C1DB"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-1.33 (.</w:t>
            </w:r>
            <w:proofErr w:type="gramStart"/>
            <w:r w:rsidRPr="00C77D5F">
              <w:rPr>
                <w:rFonts w:eastAsia="Times New Roman"/>
                <w:color w:val="000000"/>
              </w:rPr>
              <w:t>43)*</w:t>
            </w:r>
            <w:proofErr w:type="gramEnd"/>
            <w:r w:rsidRPr="00C77D5F">
              <w:rPr>
                <w:rFonts w:eastAsia="Times New Roman"/>
                <w:color w:val="000000"/>
              </w:rPr>
              <w:t>*</w:t>
            </w:r>
          </w:p>
        </w:tc>
        <w:tc>
          <w:tcPr>
            <w:tcW w:w="1560" w:type="dxa"/>
            <w:tcBorders>
              <w:top w:val="nil"/>
              <w:left w:val="nil"/>
              <w:bottom w:val="nil"/>
              <w:right w:val="nil"/>
            </w:tcBorders>
            <w:shd w:val="clear" w:color="auto" w:fill="auto"/>
            <w:noWrap/>
            <w:vAlign w:val="bottom"/>
            <w:hideMark/>
          </w:tcPr>
          <w:p w14:paraId="7E6DC699"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-0.74 (.</w:t>
            </w:r>
            <w:proofErr w:type="gramStart"/>
            <w:r w:rsidRPr="00C77D5F">
              <w:rPr>
                <w:rFonts w:eastAsia="Times New Roman"/>
                <w:color w:val="000000"/>
              </w:rPr>
              <w:t>40)*</w:t>
            </w:r>
            <w:proofErr w:type="gramEnd"/>
          </w:p>
        </w:tc>
        <w:tc>
          <w:tcPr>
            <w:tcW w:w="1660" w:type="dxa"/>
            <w:tcBorders>
              <w:top w:val="nil"/>
              <w:left w:val="nil"/>
              <w:bottom w:val="nil"/>
              <w:right w:val="nil"/>
            </w:tcBorders>
            <w:shd w:val="clear" w:color="auto" w:fill="auto"/>
            <w:noWrap/>
            <w:vAlign w:val="bottom"/>
            <w:hideMark/>
          </w:tcPr>
          <w:p w14:paraId="5468C5D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-1.10 (.</w:t>
            </w:r>
            <w:proofErr w:type="gramStart"/>
            <w:r w:rsidRPr="00C77D5F">
              <w:rPr>
                <w:rFonts w:eastAsia="Times New Roman"/>
                <w:color w:val="000000"/>
              </w:rPr>
              <w:t>46)*</w:t>
            </w:r>
            <w:proofErr w:type="gramEnd"/>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527A45BC"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-1.47 (.</w:t>
            </w:r>
            <w:proofErr w:type="gramStart"/>
            <w:r w:rsidRPr="00C77D5F">
              <w:rPr>
                <w:rFonts w:eastAsia="Times New Roman"/>
                <w:color w:val="000000"/>
              </w:rPr>
              <w:t>40)*</w:t>
            </w:r>
            <w:proofErr w:type="gramEnd"/>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37D21078"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0.21 (.58)</w:t>
            </w:r>
          </w:p>
        </w:tc>
      </w:tr>
      <w:tr w:rsidR="00C77D5F" w:rsidRPr="00C77D5F" w14:paraId="1C8FF582" w14:textId="77777777" w:rsidTr="00C278A1">
        <w:trPr>
          <w:trHeight w:val="315"/>
        </w:trPr>
        <w:tc>
          <w:tcPr>
            <w:tcW w:w="2340" w:type="dxa"/>
            <w:tcBorders>
              <w:top w:val="nil"/>
              <w:left w:val="nil"/>
              <w:bottom w:val="nil"/>
              <w:right w:val="nil"/>
            </w:tcBorders>
            <w:shd w:val="clear" w:color="auto" w:fill="auto"/>
            <w:noWrap/>
            <w:vAlign w:val="bottom"/>
            <w:hideMark/>
          </w:tcPr>
          <w:p w14:paraId="607FBE15" w14:textId="77777777" w:rsidR="00C77D5F" w:rsidRPr="00C77D5F" w:rsidRDefault="00C77D5F" w:rsidP="00C77D5F">
            <w:pPr>
              <w:spacing w:line="240" w:lineRule="auto"/>
              <w:rPr>
                <w:rFonts w:eastAsia="Times New Roman"/>
                <w:color w:val="000000"/>
              </w:rPr>
            </w:pPr>
            <w:r w:rsidRPr="00C77D5F">
              <w:rPr>
                <w:rFonts w:eastAsia="Times New Roman"/>
                <w:color w:val="000000"/>
              </w:rPr>
              <w:t>Ideological Dist.</w:t>
            </w:r>
          </w:p>
        </w:tc>
        <w:tc>
          <w:tcPr>
            <w:tcW w:w="1730" w:type="dxa"/>
            <w:tcBorders>
              <w:top w:val="nil"/>
              <w:left w:val="nil"/>
              <w:bottom w:val="nil"/>
              <w:right w:val="nil"/>
            </w:tcBorders>
            <w:shd w:val="clear" w:color="auto" w:fill="auto"/>
            <w:noWrap/>
            <w:vAlign w:val="bottom"/>
            <w:hideMark/>
          </w:tcPr>
          <w:p w14:paraId="1FAC253D"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-3.01 (</w:t>
            </w:r>
            <w:proofErr w:type="gramStart"/>
            <w:r w:rsidRPr="00C77D5F">
              <w:rPr>
                <w:rFonts w:eastAsia="Times New Roman"/>
                <w:color w:val="000000"/>
              </w:rPr>
              <w:t>1.03)*</w:t>
            </w:r>
            <w:proofErr w:type="gramEnd"/>
            <w:r w:rsidRPr="00C77D5F">
              <w:rPr>
                <w:rFonts w:eastAsia="Times New Roman"/>
                <w:color w:val="000000"/>
              </w:rPr>
              <w:t>*</w:t>
            </w:r>
          </w:p>
        </w:tc>
        <w:tc>
          <w:tcPr>
            <w:tcW w:w="1560" w:type="dxa"/>
            <w:tcBorders>
              <w:top w:val="nil"/>
              <w:left w:val="nil"/>
              <w:bottom w:val="nil"/>
              <w:right w:val="nil"/>
            </w:tcBorders>
            <w:shd w:val="clear" w:color="auto" w:fill="auto"/>
            <w:noWrap/>
            <w:vAlign w:val="bottom"/>
            <w:hideMark/>
          </w:tcPr>
          <w:p w14:paraId="2A1D676F"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-2.56 (.</w:t>
            </w:r>
            <w:proofErr w:type="gramStart"/>
            <w:r w:rsidRPr="00C77D5F">
              <w:rPr>
                <w:rFonts w:eastAsia="Times New Roman"/>
                <w:color w:val="000000"/>
              </w:rPr>
              <w:t>61)*</w:t>
            </w:r>
            <w:proofErr w:type="gramEnd"/>
            <w:r w:rsidRPr="00C77D5F">
              <w:rPr>
                <w:rFonts w:eastAsia="Times New Roman"/>
                <w:color w:val="000000"/>
              </w:rPr>
              <w:t>*</w:t>
            </w:r>
          </w:p>
        </w:tc>
        <w:tc>
          <w:tcPr>
            <w:tcW w:w="1660" w:type="dxa"/>
            <w:tcBorders>
              <w:top w:val="nil"/>
              <w:left w:val="nil"/>
              <w:bottom w:val="nil"/>
              <w:right w:val="nil"/>
            </w:tcBorders>
            <w:shd w:val="clear" w:color="auto" w:fill="auto"/>
            <w:noWrap/>
            <w:vAlign w:val="bottom"/>
            <w:hideMark/>
          </w:tcPr>
          <w:p w14:paraId="4515D1BC"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-2.63 (.</w:t>
            </w:r>
            <w:proofErr w:type="gramStart"/>
            <w:r w:rsidRPr="00C77D5F">
              <w:rPr>
                <w:rFonts w:eastAsia="Times New Roman"/>
                <w:color w:val="000000"/>
              </w:rPr>
              <w:t>61)*</w:t>
            </w:r>
            <w:proofErr w:type="gramEnd"/>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711BECEA"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-2.64 (.</w:t>
            </w:r>
            <w:proofErr w:type="gramStart"/>
            <w:r w:rsidRPr="00C77D5F">
              <w:rPr>
                <w:rFonts w:eastAsia="Times New Roman"/>
                <w:color w:val="000000"/>
              </w:rPr>
              <w:t>61)*</w:t>
            </w:r>
            <w:proofErr w:type="gramEnd"/>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575CC21F"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-2.47 (.</w:t>
            </w:r>
            <w:proofErr w:type="gramStart"/>
            <w:r w:rsidRPr="00C77D5F">
              <w:rPr>
                <w:rFonts w:eastAsia="Times New Roman"/>
                <w:color w:val="000000"/>
              </w:rPr>
              <w:t>63)*</w:t>
            </w:r>
            <w:proofErr w:type="gramEnd"/>
            <w:r w:rsidRPr="00C77D5F">
              <w:rPr>
                <w:rFonts w:eastAsia="Times New Roman"/>
                <w:color w:val="000000"/>
              </w:rPr>
              <w:t>*</w:t>
            </w:r>
          </w:p>
        </w:tc>
      </w:tr>
      <w:tr w:rsidR="00C77D5F" w:rsidRPr="00C77D5F" w14:paraId="43AE363B" w14:textId="77777777" w:rsidTr="00C278A1">
        <w:trPr>
          <w:trHeight w:val="315"/>
        </w:trPr>
        <w:tc>
          <w:tcPr>
            <w:tcW w:w="2340" w:type="dxa"/>
            <w:tcBorders>
              <w:top w:val="nil"/>
              <w:left w:val="nil"/>
              <w:bottom w:val="nil"/>
              <w:right w:val="nil"/>
            </w:tcBorders>
            <w:shd w:val="clear" w:color="auto" w:fill="auto"/>
            <w:noWrap/>
            <w:vAlign w:val="bottom"/>
            <w:hideMark/>
          </w:tcPr>
          <w:p w14:paraId="59CA3253" w14:textId="77777777" w:rsidR="00C77D5F" w:rsidRPr="00C77D5F" w:rsidRDefault="00C77D5F" w:rsidP="00C77D5F">
            <w:pPr>
              <w:spacing w:line="240" w:lineRule="auto"/>
              <w:rPr>
                <w:rFonts w:eastAsia="Times New Roman"/>
                <w:color w:val="000000"/>
              </w:rPr>
            </w:pPr>
            <w:r w:rsidRPr="00C77D5F">
              <w:rPr>
                <w:rFonts w:eastAsia="Times New Roman"/>
                <w:color w:val="000000"/>
              </w:rPr>
              <w:t>Avg. Filings</w:t>
            </w:r>
          </w:p>
        </w:tc>
        <w:tc>
          <w:tcPr>
            <w:tcW w:w="1730" w:type="dxa"/>
            <w:tcBorders>
              <w:top w:val="nil"/>
              <w:left w:val="nil"/>
              <w:bottom w:val="nil"/>
              <w:right w:val="nil"/>
            </w:tcBorders>
            <w:shd w:val="clear" w:color="auto" w:fill="auto"/>
            <w:noWrap/>
            <w:vAlign w:val="bottom"/>
            <w:hideMark/>
          </w:tcPr>
          <w:p w14:paraId="3CF97989"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0.085 (.</w:t>
            </w:r>
            <w:proofErr w:type="gramStart"/>
            <w:r w:rsidRPr="00C77D5F">
              <w:rPr>
                <w:rFonts w:eastAsia="Times New Roman"/>
                <w:color w:val="000000"/>
              </w:rPr>
              <w:t>044)*</w:t>
            </w:r>
            <w:proofErr w:type="gramEnd"/>
          </w:p>
        </w:tc>
        <w:tc>
          <w:tcPr>
            <w:tcW w:w="1560" w:type="dxa"/>
            <w:tcBorders>
              <w:top w:val="nil"/>
              <w:left w:val="nil"/>
              <w:bottom w:val="nil"/>
              <w:right w:val="nil"/>
            </w:tcBorders>
            <w:shd w:val="clear" w:color="auto" w:fill="auto"/>
            <w:noWrap/>
            <w:vAlign w:val="bottom"/>
            <w:hideMark/>
          </w:tcPr>
          <w:p w14:paraId="49B85F6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0.47 (.</w:t>
            </w:r>
            <w:proofErr w:type="gramStart"/>
            <w:r w:rsidRPr="00C77D5F">
              <w:rPr>
                <w:rFonts w:eastAsia="Times New Roman"/>
                <w:color w:val="000000"/>
              </w:rPr>
              <w:t>08)*</w:t>
            </w:r>
            <w:proofErr w:type="gramEnd"/>
            <w:r w:rsidRPr="00C77D5F">
              <w:rPr>
                <w:rFonts w:eastAsia="Times New Roman"/>
                <w:color w:val="000000"/>
              </w:rPr>
              <w:t>*</w:t>
            </w:r>
          </w:p>
        </w:tc>
        <w:tc>
          <w:tcPr>
            <w:tcW w:w="1660" w:type="dxa"/>
            <w:tcBorders>
              <w:top w:val="nil"/>
              <w:left w:val="nil"/>
              <w:bottom w:val="nil"/>
              <w:right w:val="nil"/>
            </w:tcBorders>
            <w:shd w:val="clear" w:color="auto" w:fill="auto"/>
            <w:noWrap/>
            <w:vAlign w:val="bottom"/>
            <w:hideMark/>
          </w:tcPr>
          <w:p w14:paraId="412FC136"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0.088 (.</w:t>
            </w:r>
            <w:proofErr w:type="gramStart"/>
            <w:r w:rsidRPr="00C77D5F">
              <w:rPr>
                <w:rFonts w:eastAsia="Times New Roman"/>
                <w:color w:val="000000"/>
              </w:rPr>
              <w:t>046)*</w:t>
            </w:r>
            <w:proofErr w:type="gramEnd"/>
          </w:p>
        </w:tc>
        <w:tc>
          <w:tcPr>
            <w:tcW w:w="1620" w:type="dxa"/>
            <w:tcBorders>
              <w:top w:val="nil"/>
              <w:left w:val="nil"/>
              <w:bottom w:val="nil"/>
              <w:right w:val="nil"/>
            </w:tcBorders>
            <w:shd w:val="clear" w:color="auto" w:fill="auto"/>
            <w:noWrap/>
            <w:vAlign w:val="bottom"/>
            <w:hideMark/>
          </w:tcPr>
          <w:p w14:paraId="60141E9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0.081 (.</w:t>
            </w:r>
            <w:proofErr w:type="gramStart"/>
            <w:r w:rsidRPr="00C77D5F">
              <w:rPr>
                <w:rFonts w:eastAsia="Times New Roman"/>
                <w:color w:val="000000"/>
              </w:rPr>
              <w:t>044)*</w:t>
            </w:r>
            <w:proofErr w:type="gramEnd"/>
          </w:p>
        </w:tc>
        <w:tc>
          <w:tcPr>
            <w:tcW w:w="1620" w:type="dxa"/>
            <w:tcBorders>
              <w:top w:val="nil"/>
              <w:left w:val="nil"/>
              <w:bottom w:val="nil"/>
              <w:right w:val="nil"/>
            </w:tcBorders>
            <w:shd w:val="clear" w:color="auto" w:fill="auto"/>
            <w:noWrap/>
            <w:vAlign w:val="bottom"/>
            <w:hideMark/>
          </w:tcPr>
          <w:p w14:paraId="7EE5745E"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0.12 (.</w:t>
            </w:r>
            <w:proofErr w:type="gramStart"/>
            <w:r w:rsidRPr="00C77D5F">
              <w:rPr>
                <w:rFonts w:eastAsia="Times New Roman"/>
                <w:color w:val="000000"/>
              </w:rPr>
              <w:t>04)*</w:t>
            </w:r>
            <w:proofErr w:type="gramEnd"/>
            <w:r w:rsidRPr="00C77D5F">
              <w:rPr>
                <w:rFonts w:eastAsia="Times New Roman"/>
                <w:color w:val="000000"/>
              </w:rPr>
              <w:t>*</w:t>
            </w:r>
          </w:p>
        </w:tc>
      </w:tr>
      <w:tr w:rsidR="00C77D5F" w:rsidRPr="00C77D5F" w14:paraId="21E175F7" w14:textId="77777777" w:rsidTr="00C278A1">
        <w:trPr>
          <w:trHeight w:val="315"/>
        </w:trPr>
        <w:tc>
          <w:tcPr>
            <w:tcW w:w="2340" w:type="dxa"/>
            <w:tcBorders>
              <w:top w:val="nil"/>
              <w:left w:val="nil"/>
              <w:bottom w:val="nil"/>
              <w:right w:val="nil"/>
            </w:tcBorders>
            <w:shd w:val="clear" w:color="auto" w:fill="auto"/>
            <w:noWrap/>
            <w:vAlign w:val="bottom"/>
            <w:hideMark/>
          </w:tcPr>
          <w:p w14:paraId="0D63477C" w14:textId="77777777" w:rsidR="00C77D5F" w:rsidRPr="00C77D5F" w:rsidRDefault="00C77D5F" w:rsidP="00C77D5F">
            <w:pPr>
              <w:spacing w:line="240" w:lineRule="auto"/>
              <w:rPr>
                <w:rFonts w:eastAsia="Times New Roman"/>
                <w:color w:val="000000"/>
              </w:rPr>
            </w:pPr>
            <w:r w:rsidRPr="00C77D5F">
              <w:rPr>
                <w:rFonts w:eastAsia="Times New Roman"/>
                <w:color w:val="000000"/>
              </w:rPr>
              <w:t>Avg. Workhours</w:t>
            </w:r>
          </w:p>
        </w:tc>
        <w:tc>
          <w:tcPr>
            <w:tcW w:w="1730" w:type="dxa"/>
            <w:tcBorders>
              <w:top w:val="nil"/>
              <w:left w:val="nil"/>
              <w:bottom w:val="nil"/>
              <w:right w:val="nil"/>
            </w:tcBorders>
            <w:shd w:val="clear" w:color="auto" w:fill="auto"/>
            <w:noWrap/>
            <w:vAlign w:val="bottom"/>
            <w:hideMark/>
          </w:tcPr>
          <w:p w14:paraId="34BA0F8D"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-0.017 (.015)</w:t>
            </w:r>
          </w:p>
        </w:tc>
        <w:tc>
          <w:tcPr>
            <w:tcW w:w="1560" w:type="dxa"/>
            <w:tcBorders>
              <w:top w:val="nil"/>
              <w:left w:val="nil"/>
              <w:bottom w:val="nil"/>
              <w:right w:val="nil"/>
            </w:tcBorders>
            <w:shd w:val="clear" w:color="auto" w:fill="auto"/>
            <w:noWrap/>
            <w:vAlign w:val="bottom"/>
            <w:hideMark/>
          </w:tcPr>
          <w:p w14:paraId="60F3743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-0.02 (.02)</w:t>
            </w:r>
          </w:p>
        </w:tc>
        <w:tc>
          <w:tcPr>
            <w:tcW w:w="1660" w:type="dxa"/>
            <w:tcBorders>
              <w:top w:val="nil"/>
              <w:left w:val="nil"/>
              <w:bottom w:val="nil"/>
              <w:right w:val="nil"/>
            </w:tcBorders>
            <w:shd w:val="clear" w:color="auto" w:fill="auto"/>
            <w:noWrap/>
            <w:vAlign w:val="bottom"/>
            <w:hideMark/>
          </w:tcPr>
          <w:p w14:paraId="76BDE2E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-0.01 (.01)</w:t>
            </w:r>
          </w:p>
        </w:tc>
        <w:tc>
          <w:tcPr>
            <w:tcW w:w="1620" w:type="dxa"/>
            <w:tcBorders>
              <w:top w:val="nil"/>
              <w:left w:val="nil"/>
              <w:bottom w:val="nil"/>
              <w:right w:val="nil"/>
            </w:tcBorders>
            <w:shd w:val="clear" w:color="auto" w:fill="auto"/>
            <w:noWrap/>
            <w:vAlign w:val="bottom"/>
            <w:hideMark/>
          </w:tcPr>
          <w:p w14:paraId="6DB5B278"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-0.017 (.016)</w:t>
            </w:r>
          </w:p>
        </w:tc>
        <w:tc>
          <w:tcPr>
            <w:tcW w:w="1620" w:type="dxa"/>
            <w:tcBorders>
              <w:top w:val="nil"/>
              <w:left w:val="nil"/>
              <w:bottom w:val="nil"/>
              <w:right w:val="nil"/>
            </w:tcBorders>
            <w:shd w:val="clear" w:color="auto" w:fill="auto"/>
            <w:noWrap/>
            <w:vAlign w:val="bottom"/>
            <w:hideMark/>
          </w:tcPr>
          <w:p w14:paraId="6E8C929D"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-0.014 (.014)</w:t>
            </w:r>
          </w:p>
        </w:tc>
      </w:tr>
      <w:tr w:rsidR="00C77D5F" w:rsidRPr="00C77D5F" w14:paraId="618DCA8E" w14:textId="77777777" w:rsidTr="00C278A1">
        <w:trPr>
          <w:trHeight w:val="315"/>
        </w:trPr>
        <w:tc>
          <w:tcPr>
            <w:tcW w:w="2340" w:type="dxa"/>
            <w:tcBorders>
              <w:top w:val="nil"/>
              <w:left w:val="nil"/>
              <w:bottom w:val="nil"/>
              <w:right w:val="nil"/>
            </w:tcBorders>
            <w:shd w:val="clear" w:color="auto" w:fill="auto"/>
            <w:noWrap/>
            <w:vAlign w:val="bottom"/>
            <w:hideMark/>
          </w:tcPr>
          <w:p w14:paraId="617751FB" w14:textId="77777777" w:rsidR="00C77D5F" w:rsidRPr="00C77D5F" w:rsidRDefault="00C77D5F" w:rsidP="00C77D5F">
            <w:pPr>
              <w:spacing w:line="240" w:lineRule="auto"/>
              <w:rPr>
                <w:rFonts w:eastAsia="Times New Roman"/>
                <w:color w:val="000000"/>
              </w:rPr>
            </w:pPr>
            <w:r w:rsidRPr="00C77D5F">
              <w:rPr>
                <w:rFonts w:eastAsia="Times New Roman"/>
                <w:color w:val="000000"/>
              </w:rPr>
              <w:t>Top 15 Law School</w:t>
            </w:r>
          </w:p>
        </w:tc>
        <w:tc>
          <w:tcPr>
            <w:tcW w:w="1730" w:type="dxa"/>
            <w:tcBorders>
              <w:top w:val="nil"/>
              <w:left w:val="nil"/>
              <w:bottom w:val="nil"/>
              <w:right w:val="nil"/>
            </w:tcBorders>
            <w:shd w:val="clear" w:color="auto" w:fill="auto"/>
            <w:noWrap/>
            <w:vAlign w:val="bottom"/>
            <w:hideMark/>
          </w:tcPr>
          <w:p w14:paraId="3990EE7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-0.52 (.38)</w:t>
            </w:r>
          </w:p>
        </w:tc>
        <w:tc>
          <w:tcPr>
            <w:tcW w:w="1560" w:type="dxa"/>
            <w:tcBorders>
              <w:top w:val="nil"/>
              <w:left w:val="nil"/>
              <w:bottom w:val="nil"/>
              <w:right w:val="nil"/>
            </w:tcBorders>
            <w:shd w:val="clear" w:color="auto" w:fill="auto"/>
            <w:noWrap/>
            <w:vAlign w:val="bottom"/>
            <w:hideMark/>
          </w:tcPr>
          <w:p w14:paraId="081819E1"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-0.43 (.37)</w:t>
            </w:r>
          </w:p>
        </w:tc>
        <w:tc>
          <w:tcPr>
            <w:tcW w:w="1660" w:type="dxa"/>
            <w:tcBorders>
              <w:top w:val="nil"/>
              <w:left w:val="nil"/>
              <w:bottom w:val="nil"/>
              <w:right w:val="nil"/>
            </w:tcBorders>
            <w:shd w:val="clear" w:color="auto" w:fill="auto"/>
            <w:noWrap/>
            <w:vAlign w:val="bottom"/>
            <w:hideMark/>
          </w:tcPr>
          <w:p w14:paraId="1FA5826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-0.50 (.37)</w:t>
            </w:r>
          </w:p>
        </w:tc>
        <w:tc>
          <w:tcPr>
            <w:tcW w:w="1620" w:type="dxa"/>
            <w:tcBorders>
              <w:top w:val="nil"/>
              <w:left w:val="nil"/>
              <w:bottom w:val="nil"/>
              <w:right w:val="nil"/>
            </w:tcBorders>
            <w:shd w:val="clear" w:color="auto" w:fill="auto"/>
            <w:noWrap/>
            <w:vAlign w:val="bottom"/>
            <w:hideMark/>
          </w:tcPr>
          <w:p w14:paraId="2B87EBE7"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-1.40 (.</w:t>
            </w:r>
            <w:proofErr w:type="gramStart"/>
            <w:r w:rsidRPr="00C77D5F">
              <w:rPr>
                <w:rFonts w:eastAsia="Times New Roman"/>
                <w:color w:val="000000"/>
              </w:rPr>
              <w:t>80)*</w:t>
            </w:r>
            <w:proofErr w:type="gramEnd"/>
          </w:p>
        </w:tc>
        <w:tc>
          <w:tcPr>
            <w:tcW w:w="1620" w:type="dxa"/>
            <w:tcBorders>
              <w:top w:val="nil"/>
              <w:left w:val="nil"/>
              <w:bottom w:val="nil"/>
              <w:right w:val="nil"/>
            </w:tcBorders>
            <w:shd w:val="clear" w:color="auto" w:fill="auto"/>
            <w:noWrap/>
            <w:vAlign w:val="bottom"/>
            <w:hideMark/>
          </w:tcPr>
          <w:p w14:paraId="1871D1E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-0.49 (.42)</w:t>
            </w:r>
          </w:p>
        </w:tc>
      </w:tr>
      <w:tr w:rsidR="00C77D5F" w:rsidRPr="00C77D5F" w14:paraId="52B22BA6" w14:textId="77777777" w:rsidTr="00C278A1">
        <w:trPr>
          <w:trHeight w:val="315"/>
        </w:trPr>
        <w:tc>
          <w:tcPr>
            <w:tcW w:w="2340" w:type="dxa"/>
            <w:tcBorders>
              <w:top w:val="nil"/>
              <w:left w:val="nil"/>
              <w:bottom w:val="nil"/>
              <w:right w:val="nil"/>
            </w:tcBorders>
            <w:shd w:val="clear" w:color="auto" w:fill="auto"/>
            <w:noWrap/>
            <w:vAlign w:val="bottom"/>
            <w:hideMark/>
          </w:tcPr>
          <w:p w14:paraId="17A0824E" w14:textId="77777777" w:rsidR="00C77D5F" w:rsidRPr="00C77D5F" w:rsidRDefault="00C77D5F" w:rsidP="00C77D5F">
            <w:pPr>
              <w:spacing w:line="240" w:lineRule="auto"/>
              <w:rPr>
                <w:rFonts w:eastAsia="Times New Roman"/>
                <w:color w:val="000000"/>
              </w:rPr>
            </w:pPr>
            <w:r w:rsidRPr="00C77D5F">
              <w:rPr>
                <w:rFonts w:eastAsia="Times New Roman"/>
                <w:color w:val="000000"/>
              </w:rPr>
              <w:t>Dem. Pres. Appt.</w:t>
            </w:r>
          </w:p>
        </w:tc>
        <w:tc>
          <w:tcPr>
            <w:tcW w:w="1730" w:type="dxa"/>
            <w:tcBorders>
              <w:top w:val="nil"/>
              <w:left w:val="nil"/>
              <w:bottom w:val="nil"/>
              <w:right w:val="nil"/>
            </w:tcBorders>
            <w:shd w:val="clear" w:color="auto" w:fill="auto"/>
            <w:noWrap/>
            <w:vAlign w:val="bottom"/>
            <w:hideMark/>
          </w:tcPr>
          <w:p w14:paraId="03B3A037"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-0.71 (.</w:t>
            </w:r>
            <w:proofErr w:type="gramStart"/>
            <w:r w:rsidRPr="00C77D5F">
              <w:rPr>
                <w:rFonts w:eastAsia="Times New Roman"/>
                <w:color w:val="000000"/>
              </w:rPr>
              <w:t>38)*</w:t>
            </w:r>
            <w:proofErr w:type="gramEnd"/>
          </w:p>
        </w:tc>
        <w:tc>
          <w:tcPr>
            <w:tcW w:w="1560" w:type="dxa"/>
            <w:tcBorders>
              <w:top w:val="nil"/>
              <w:left w:val="nil"/>
              <w:bottom w:val="nil"/>
              <w:right w:val="nil"/>
            </w:tcBorders>
            <w:shd w:val="clear" w:color="auto" w:fill="auto"/>
            <w:noWrap/>
            <w:vAlign w:val="bottom"/>
            <w:hideMark/>
          </w:tcPr>
          <w:p w14:paraId="1D160219"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-0.67 (.</w:t>
            </w:r>
            <w:proofErr w:type="gramStart"/>
            <w:r w:rsidRPr="00C77D5F">
              <w:rPr>
                <w:rFonts w:eastAsia="Times New Roman"/>
                <w:color w:val="000000"/>
              </w:rPr>
              <w:t>38)*</w:t>
            </w:r>
            <w:proofErr w:type="gramEnd"/>
          </w:p>
        </w:tc>
        <w:tc>
          <w:tcPr>
            <w:tcW w:w="1660" w:type="dxa"/>
            <w:tcBorders>
              <w:top w:val="nil"/>
              <w:left w:val="nil"/>
              <w:bottom w:val="nil"/>
              <w:right w:val="nil"/>
            </w:tcBorders>
            <w:shd w:val="clear" w:color="auto" w:fill="auto"/>
            <w:noWrap/>
            <w:vAlign w:val="bottom"/>
            <w:hideMark/>
          </w:tcPr>
          <w:p w14:paraId="705B41AF"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-0.69 (.</w:t>
            </w:r>
            <w:proofErr w:type="gramStart"/>
            <w:r w:rsidRPr="00C77D5F">
              <w:rPr>
                <w:rFonts w:eastAsia="Times New Roman"/>
                <w:color w:val="000000"/>
              </w:rPr>
              <w:t>37)*</w:t>
            </w:r>
            <w:proofErr w:type="gramEnd"/>
          </w:p>
        </w:tc>
        <w:tc>
          <w:tcPr>
            <w:tcW w:w="1620" w:type="dxa"/>
            <w:tcBorders>
              <w:top w:val="nil"/>
              <w:left w:val="nil"/>
              <w:bottom w:val="nil"/>
              <w:right w:val="nil"/>
            </w:tcBorders>
            <w:shd w:val="clear" w:color="auto" w:fill="auto"/>
            <w:noWrap/>
            <w:vAlign w:val="bottom"/>
            <w:hideMark/>
          </w:tcPr>
          <w:p w14:paraId="77F3D726"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-0.71 (.</w:t>
            </w:r>
            <w:proofErr w:type="gramStart"/>
            <w:r w:rsidRPr="00C77D5F">
              <w:rPr>
                <w:rFonts w:eastAsia="Times New Roman"/>
                <w:color w:val="000000"/>
              </w:rPr>
              <w:t>38)*</w:t>
            </w:r>
            <w:proofErr w:type="gramEnd"/>
          </w:p>
        </w:tc>
        <w:tc>
          <w:tcPr>
            <w:tcW w:w="1620" w:type="dxa"/>
            <w:tcBorders>
              <w:top w:val="nil"/>
              <w:left w:val="nil"/>
              <w:bottom w:val="nil"/>
              <w:right w:val="nil"/>
            </w:tcBorders>
            <w:shd w:val="clear" w:color="auto" w:fill="auto"/>
            <w:noWrap/>
            <w:vAlign w:val="bottom"/>
            <w:hideMark/>
          </w:tcPr>
          <w:p w14:paraId="6091C151"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1.09 (.66)</w:t>
            </w:r>
          </w:p>
        </w:tc>
      </w:tr>
      <w:tr w:rsidR="00C77D5F" w:rsidRPr="00C77D5F" w14:paraId="13227130" w14:textId="77777777" w:rsidTr="00C278A1">
        <w:trPr>
          <w:trHeight w:val="315"/>
        </w:trPr>
        <w:tc>
          <w:tcPr>
            <w:tcW w:w="2340" w:type="dxa"/>
            <w:tcBorders>
              <w:top w:val="nil"/>
              <w:left w:val="nil"/>
              <w:bottom w:val="nil"/>
              <w:right w:val="nil"/>
            </w:tcBorders>
            <w:shd w:val="clear" w:color="auto" w:fill="auto"/>
            <w:noWrap/>
            <w:vAlign w:val="bottom"/>
            <w:hideMark/>
          </w:tcPr>
          <w:p w14:paraId="18415660" w14:textId="77777777" w:rsidR="00C77D5F" w:rsidRPr="00C77D5F" w:rsidRDefault="00C77D5F" w:rsidP="00C77D5F">
            <w:pPr>
              <w:spacing w:line="240" w:lineRule="auto"/>
              <w:rPr>
                <w:rFonts w:eastAsia="Times New Roman"/>
                <w:color w:val="000000"/>
              </w:rPr>
            </w:pPr>
            <w:r w:rsidRPr="00C77D5F">
              <w:rPr>
                <w:rFonts w:eastAsia="Times New Roman"/>
                <w:color w:val="000000"/>
              </w:rPr>
              <w:t xml:space="preserve">WM * </w:t>
            </w:r>
            <w:proofErr w:type="spellStart"/>
            <w:r w:rsidRPr="00C77D5F">
              <w:rPr>
                <w:rFonts w:eastAsia="Times New Roman"/>
                <w:color w:val="000000"/>
              </w:rPr>
              <w:t>Ideo</w:t>
            </w:r>
            <w:proofErr w:type="spellEnd"/>
            <w:r w:rsidRPr="00C77D5F">
              <w:rPr>
                <w:rFonts w:eastAsia="Times New Roman"/>
                <w:color w:val="000000"/>
              </w:rPr>
              <w:t xml:space="preserve">. </w:t>
            </w:r>
            <w:proofErr w:type="spellStart"/>
            <w:r w:rsidRPr="00C77D5F">
              <w:rPr>
                <w:rFonts w:eastAsia="Times New Roman"/>
                <w:color w:val="000000"/>
              </w:rPr>
              <w:t>Dist</w:t>
            </w:r>
            <w:proofErr w:type="spellEnd"/>
          </w:p>
        </w:tc>
        <w:tc>
          <w:tcPr>
            <w:tcW w:w="1730" w:type="dxa"/>
            <w:tcBorders>
              <w:top w:val="nil"/>
              <w:left w:val="nil"/>
              <w:bottom w:val="nil"/>
              <w:right w:val="nil"/>
            </w:tcBorders>
            <w:shd w:val="clear" w:color="auto" w:fill="auto"/>
            <w:noWrap/>
            <w:vAlign w:val="bottom"/>
            <w:hideMark/>
          </w:tcPr>
          <w:p w14:paraId="1D9B56E7"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0.57 (1.31)</w:t>
            </w:r>
          </w:p>
        </w:tc>
        <w:tc>
          <w:tcPr>
            <w:tcW w:w="1560" w:type="dxa"/>
            <w:tcBorders>
              <w:top w:val="nil"/>
              <w:left w:val="nil"/>
              <w:bottom w:val="nil"/>
              <w:right w:val="nil"/>
            </w:tcBorders>
            <w:shd w:val="clear" w:color="auto" w:fill="auto"/>
            <w:noWrap/>
            <w:vAlign w:val="bottom"/>
            <w:hideMark/>
          </w:tcPr>
          <w:p w14:paraId="6B618DF8"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60" w:type="dxa"/>
            <w:tcBorders>
              <w:top w:val="nil"/>
              <w:left w:val="nil"/>
              <w:bottom w:val="nil"/>
              <w:right w:val="nil"/>
            </w:tcBorders>
            <w:shd w:val="clear" w:color="auto" w:fill="auto"/>
            <w:noWrap/>
            <w:vAlign w:val="bottom"/>
            <w:hideMark/>
          </w:tcPr>
          <w:p w14:paraId="189049D3"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726CD853"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54B3DC97"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r>
      <w:tr w:rsidR="00C77D5F" w:rsidRPr="00C77D5F" w14:paraId="71061950" w14:textId="77777777" w:rsidTr="00C278A1">
        <w:trPr>
          <w:trHeight w:val="315"/>
        </w:trPr>
        <w:tc>
          <w:tcPr>
            <w:tcW w:w="2340" w:type="dxa"/>
            <w:tcBorders>
              <w:top w:val="nil"/>
              <w:left w:val="nil"/>
              <w:bottom w:val="nil"/>
              <w:right w:val="nil"/>
            </w:tcBorders>
            <w:shd w:val="clear" w:color="auto" w:fill="auto"/>
            <w:noWrap/>
            <w:vAlign w:val="bottom"/>
            <w:hideMark/>
          </w:tcPr>
          <w:p w14:paraId="2B5CFA3B" w14:textId="77777777" w:rsidR="00C77D5F" w:rsidRPr="00C77D5F" w:rsidRDefault="00C77D5F" w:rsidP="00C77D5F">
            <w:pPr>
              <w:spacing w:line="240" w:lineRule="auto"/>
              <w:rPr>
                <w:rFonts w:eastAsia="Times New Roman"/>
                <w:color w:val="000000"/>
              </w:rPr>
            </w:pPr>
            <w:r w:rsidRPr="00C77D5F">
              <w:rPr>
                <w:rFonts w:eastAsia="Times New Roman"/>
                <w:color w:val="000000"/>
              </w:rPr>
              <w:t>WM * Avg. Filings</w:t>
            </w:r>
          </w:p>
        </w:tc>
        <w:tc>
          <w:tcPr>
            <w:tcW w:w="1730" w:type="dxa"/>
            <w:tcBorders>
              <w:top w:val="nil"/>
              <w:left w:val="nil"/>
              <w:bottom w:val="nil"/>
              <w:right w:val="nil"/>
            </w:tcBorders>
            <w:shd w:val="clear" w:color="auto" w:fill="auto"/>
            <w:noWrap/>
            <w:vAlign w:val="bottom"/>
            <w:hideMark/>
          </w:tcPr>
          <w:p w14:paraId="28F8815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560" w:type="dxa"/>
            <w:tcBorders>
              <w:top w:val="nil"/>
              <w:left w:val="nil"/>
              <w:bottom w:val="nil"/>
              <w:right w:val="nil"/>
            </w:tcBorders>
            <w:shd w:val="clear" w:color="auto" w:fill="auto"/>
            <w:noWrap/>
            <w:vAlign w:val="bottom"/>
            <w:hideMark/>
          </w:tcPr>
          <w:p w14:paraId="60862976"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-0.38 (.</w:t>
            </w:r>
            <w:proofErr w:type="gramStart"/>
            <w:r w:rsidRPr="00C77D5F">
              <w:rPr>
                <w:rFonts w:eastAsia="Times New Roman"/>
                <w:color w:val="000000"/>
              </w:rPr>
              <w:t>11)*</w:t>
            </w:r>
            <w:proofErr w:type="gramEnd"/>
            <w:r w:rsidRPr="00C77D5F">
              <w:rPr>
                <w:rFonts w:eastAsia="Times New Roman"/>
                <w:color w:val="000000"/>
              </w:rPr>
              <w:t>*</w:t>
            </w:r>
          </w:p>
        </w:tc>
        <w:tc>
          <w:tcPr>
            <w:tcW w:w="1660" w:type="dxa"/>
            <w:tcBorders>
              <w:top w:val="nil"/>
              <w:left w:val="nil"/>
              <w:bottom w:val="nil"/>
              <w:right w:val="nil"/>
            </w:tcBorders>
            <w:shd w:val="clear" w:color="auto" w:fill="auto"/>
            <w:noWrap/>
            <w:vAlign w:val="bottom"/>
            <w:hideMark/>
          </w:tcPr>
          <w:p w14:paraId="15F18BAE"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6E8856B1"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7F72C54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r>
      <w:tr w:rsidR="00C77D5F" w:rsidRPr="00C77D5F" w14:paraId="4B504568" w14:textId="77777777" w:rsidTr="00C278A1">
        <w:trPr>
          <w:trHeight w:val="315"/>
        </w:trPr>
        <w:tc>
          <w:tcPr>
            <w:tcW w:w="2340" w:type="dxa"/>
            <w:tcBorders>
              <w:top w:val="nil"/>
              <w:left w:val="nil"/>
              <w:bottom w:val="nil"/>
              <w:right w:val="nil"/>
            </w:tcBorders>
            <w:shd w:val="clear" w:color="auto" w:fill="auto"/>
            <w:noWrap/>
            <w:vAlign w:val="bottom"/>
            <w:hideMark/>
          </w:tcPr>
          <w:p w14:paraId="12061604" w14:textId="77777777" w:rsidR="00C77D5F" w:rsidRPr="00C77D5F" w:rsidRDefault="00C77D5F" w:rsidP="00C77D5F">
            <w:pPr>
              <w:spacing w:line="240" w:lineRule="auto"/>
              <w:rPr>
                <w:rFonts w:eastAsia="Times New Roman"/>
                <w:color w:val="000000"/>
              </w:rPr>
            </w:pPr>
            <w:r w:rsidRPr="00C77D5F">
              <w:rPr>
                <w:rFonts w:eastAsia="Times New Roman"/>
                <w:color w:val="000000"/>
              </w:rPr>
              <w:t>WM* Avg. Workhours</w:t>
            </w:r>
          </w:p>
        </w:tc>
        <w:tc>
          <w:tcPr>
            <w:tcW w:w="1730" w:type="dxa"/>
            <w:tcBorders>
              <w:top w:val="nil"/>
              <w:left w:val="nil"/>
              <w:bottom w:val="nil"/>
              <w:right w:val="nil"/>
            </w:tcBorders>
            <w:shd w:val="clear" w:color="auto" w:fill="auto"/>
            <w:noWrap/>
            <w:vAlign w:val="bottom"/>
            <w:hideMark/>
          </w:tcPr>
          <w:p w14:paraId="0E8745FD"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560" w:type="dxa"/>
            <w:tcBorders>
              <w:top w:val="nil"/>
              <w:left w:val="nil"/>
              <w:bottom w:val="nil"/>
              <w:right w:val="nil"/>
            </w:tcBorders>
            <w:shd w:val="clear" w:color="auto" w:fill="auto"/>
            <w:noWrap/>
            <w:vAlign w:val="bottom"/>
            <w:hideMark/>
          </w:tcPr>
          <w:p w14:paraId="7694A6AA"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60" w:type="dxa"/>
            <w:tcBorders>
              <w:top w:val="nil"/>
              <w:left w:val="nil"/>
              <w:bottom w:val="nil"/>
              <w:right w:val="nil"/>
            </w:tcBorders>
            <w:shd w:val="clear" w:color="auto" w:fill="auto"/>
            <w:noWrap/>
            <w:vAlign w:val="bottom"/>
            <w:hideMark/>
          </w:tcPr>
          <w:p w14:paraId="3FCACAF5"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-0.01 (.03)</w:t>
            </w:r>
          </w:p>
        </w:tc>
        <w:tc>
          <w:tcPr>
            <w:tcW w:w="1620" w:type="dxa"/>
            <w:tcBorders>
              <w:top w:val="nil"/>
              <w:left w:val="nil"/>
              <w:bottom w:val="nil"/>
              <w:right w:val="nil"/>
            </w:tcBorders>
            <w:shd w:val="clear" w:color="auto" w:fill="auto"/>
            <w:noWrap/>
            <w:vAlign w:val="bottom"/>
            <w:hideMark/>
          </w:tcPr>
          <w:p w14:paraId="61D8F4F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5B399685"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r>
      <w:tr w:rsidR="00C77D5F" w:rsidRPr="00C77D5F" w14:paraId="5A8F8574" w14:textId="77777777" w:rsidTr="00C278A1">
        <w:trPr>
          <w:trHeight w:val="315"/>
        </w:trPr>
        <w:tc>
          <w:tcPr>
            <w:tcW w:w="2340" w:type="dxa"/>
            <w:tcBorders>
              <w:top w:val="nil"/>
              <w:left w:val="nil"/>
              <w:bottom w:val="nil"/>
              <w:right w:val="nil"/>
            </w:tcBorders>
            <w:shd w:val="clear" w:color="auto" w:fill="auto"/>
            <w:noWrap/>
            <w:vAlign w:val="bottom"/>
            <w:hideMark/>
          </w:tcPr>
          <w:p w14:paraId="61837F7F" w14:textId="77777777" w:rsidR="00C77D5F" w:rsidRPr="00C77D5F" w:rsidRDefault="00C77D5F" w:rsidP="00C77D5F">
            <w:pPr>
              <w:spacing w:line="240" w:lineRule="auto"/>
              <w:rPr>
                <w:rFonts w:eastAsia="Times New Roman"/>
                <w:color w:val="000000"/>
              </w:rPr>
            </w:pPr>
            <w:r w:rsidRPr="00C77D5F">
              <w:rPr>
                <w:rFonts w:eastAsia="Times New Roman"/>
                <w:color w:val="000000"/>
              </w:rPr>
              <w:t>WM * Top 15</w:t>
            </w:r>
          </w:p>
        </w:tc>
        <w:tc>
          <w:tcPr>
            <w:tcW w:w="1730" w:type="dxa"/>
            <w:tcBorders>
              <w:top w:val="nil"/>
              <w:left w:val="nil"/>
              <w:bottom w:val="nil"/>
              <w:right w:val="nil"/>
            </w:tcBorders>
            <w:shd w:val="clear" w:color="auto" w:fill="auto"/>
            <w:noWrap/>
            <w:vAlign w:val="bottom"/>
            <w:hideMark/>
          </w:tcPr>
          <w:p w14:paraId="0CBF076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560" w:type="dxa"/>
            <w:tcBorders>
              <w:top w:val="nil"/>
              <w:left w:val="nil"/>
              <w:bottom w:val="nil"/>
              <w:right w:val="nil"/>
            </w:tcBorders>
            <w:shd w:val="clear" w:color="auto" w:fill="auto"/>
            <w:noWrap/>
            <w:vAlign w:val="bottom"/>
            <w:hideMark/>
          </w:tcPr>
          <w:p w14:paraId="178AB85B"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60" w:type="dxa"/>
            <w:tcBorders>
              <w:top w:val="nil"/>
              <w:left w:val="nil"/>
              <w:bottom w:val="nil"/>
              <w:right w:val="nil"/>
            </w:tcBorders>
            <w:shd w:val="clear" w:color="auto" w:fill="auto"/>
            <w:noWrap/>
            <w:vAlign w:val="bottom"/>
            <w:hideMark/>
          </w:tcPr>
          <w:p w14:paraId="3FCF43AA"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0D63AAFA"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1.21 (.88)</w:t>
            </w:r>
          </w:p>
        </w:tc>
        <w:tc>
          <w:tcPr>
            <w:tcW w:w="1620" w:type="dxa"/>
            <w:tcBorders>
              <w:top w:val="nil"/>
              <w:left w:val="nil"/>
              <w:bottom w:val="nil"/>
              <w:right w:val="nil"/>
            </w:tcBorders>
            <w:shd w:val="clear" w:color="auto" w:fill="auto"/>
            <w:noWrap/>
            <w:vAlign w:val="bottom"/>
            <w:hideMark/>
          </w:tcPr>
          <w:p w14:paraId="43A2E09B"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r>
      <w:tr w:rsidR="00C77D5F" w:rsidRPr="00C77D5F" w14:paraId="70B177C2" w14:textId="77777777" w:rsidTr="00C278A1">
        <w:trPr>
          <w:trHeight w:val="315"/>
        </w:trPr>
        <w:tc>
          <w:tcPr>
            <w:tcW w:w="2340" w:type="dxa"/>
            <w:tcBorders>
              <w:top w:val="nil"/>
              <w:left w:val="nil"/>
              <w:bottom w:val="nil"/>
              <w:right w:val="nil"/>
            </w:tcBorders>
            <w:shd w:val="clear" w:color="auto" w:fill="auto"/>
            <w:noWrap/>
            <w:vAlign w:val="bottom"/>
            <w:hideMark/>
          </w:tcPr>
          <w:p w14:paraId="4EFFA99A" w14:textId="77777777" w:rsidR="00C77D5F" w:rsidRPr="00C77D5F" w:rsidRDefault="00C77D5F" w:rsidP="00C77D5F">
            <w:pPr>
              <w:spacing w:line="240" w:lineRule="auto"/>
              <w:rPr>
                <w:rFonts w:eastAsia="Times New Roman"/>
                <w:color w:val="000000"/>
              </w:rPr>
            </w:pPr>
            <w:r w:rsidRPr="00C77D5F">
              <w:rPr>
                <w:rFonts w:eastAsia="Times New Roman"/>
                <w:color w:val="000000"/>
              </w:rPr>
              <w:t>WM * Dem. Pres.</w:t>
            </w:r>
          </w:p>
        </w:tc>
        <w:tc>
          <w:tcPr>
            <w:tcW w:w="1730" w:type="dxa"/>
            <w:tcBorders>
              <w:top w:val="nil"/>
              <w:left w:val="nil"/>
              <w:bottom w:val="nil"/>
              <w:right w:val="nil"/>
            </w:tcBorders>
            <w:shd w:val="clear" w:color="auto" w:fill="auto"/>
            <w:noWrap/>
            <w:vAlign w:val="bottom"/>
            <w:hideMark/>
          </w:tcPr>
          <w:p w14:paraId="411A597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560" w:type="dxa"/>
            <w:tcBorders>
              <w:top w:val="nil"/>
              <w:left w:val="nil"/>
              <w:bottom w:val="nil"/>
              <w:right w:val="nil"/>
            </w:tcBorders>
            <w:shd w:val="clear" w:color="auto" w:fill="auto"/>
            <w:noWrap/>
            <w:vAlign w:val="bottom"/>
            <w:hideMark/>
          </w:tcPr>
          <w:p w14:paraId="2AE68F2F"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60" w:type="dxa"/>
            <w:tcBorders>
              <w:top w:val="nil"/>
              <w:left w:val="nil"/>
              <w:bottom w:val="nil"/>
              <w:right w:val="nil"/>
            </w:tcBorders>
            <w:shd w:val="clear" w:color="auto" w:fill="auto"/>
            <w:noWrap/>
            <w:vAlign w:val="bottom"/>
            <w:hideMark/>
          </w:tcPr>
          <w:p w14:paraId="6A0FC1F5"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7990C392"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41ABA3A3"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-3.06 (.</w:t>
            </w:r>
            <w:proofErr w:type="gramStart"/>
            <w:r w:rsidRPr="00C77D5F">
              <w:rPr>
                <w:rFonts w:eastAsia="Times New Roman"/>
                <w:color w:val="000000"/>
              </w:rPr>
              <w:t>95)*</w:t>
            </w:r>
            <w:proofErr w:type="gramEnd"/>
            <w:r w:rsidRPr="00C77D5F">
              <w:rPr>
                <w:rFonts w:eastAsia="Times New Roman"/>
                <w:color w:val="000000"/>
              </w:rPr>
              <w:t>*</w:t>
            </w:r>
          </w:p>
        </w:tc>
      </w:tr>
      <w:tr w:rsidR="00C77D5F" w:rsidRPr="00C77D5F" w14:paraId="19A63F3C" w14:textId="77777777" w:rsidTr="00C278A1">
        <w:trPr>
          <w:trHeight w:val="315"/>
        </w:trPr>
        <w:tc>
          <w:tcPr>
            <w:tcW w:w="2340" w:type="dxa"/>
            <w:tcBorders>
              <w:top w:val="nil"/>
              <w:left w:val="nil"/>
              <w:bottom w:val="nil"/>
              <w:right w:val="nil"/>
            </w:tcBorders>
            <w:shd w:val="clear" w:color="auto" w:fill="auto"/>
            <w:noWrap/>
            <w:vAlign w:val="bottom"/>
            <w:hideMark/>
          </w:tcPr>
          <w:p w14:paraId="634C3B9F" w14:textId="77777777" w:rsidR="00C77D5F" w:rsidRPr="00C77D5F" w:rsidRDefault="00C77D5F" w:rsidP="00C77D5F">
            <w:pPr>
              <w:spacing w:line="240" w:lineRule="auto"/>
              <w:rPr>
                <w:rFonts w:eastAsia="Times New Roman"/>
                <w:color w:val="000000"/>
              </w:rPr>
            </w:pPr>
            <w:r w:rsidRPr="00C77D5F">
              <w:rPr>
                <w:rFonts w:eastAsia="Times New Roman"/>
                <w:color w:val="000000"/>
              </w:rPr>
              <w:t>Border District</w:t>
            </w:r>
          </w:p>
        </w:tc>
        <w:tc>
          <w:tcPr>
            <w:tcW w:w="1730" w:type="dxa"/>
            <w:tcBorders>
              <w:top w:val="nil"/>
              <w:left w:val="nil"/>
              <w:bottom w:val="nil"/>
              <w:right w:val="nil"/>
            </w:tcBorders>
            <w:shd w:val="clear" w:color="auto" w:fill="auto"/>
            <w:noWrap/>
            <w:vAlign w:val="bottom"/>
            <w:hideMark/>
          </w:tcPr>
          <w:p w14:paraId="7E981D32"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-0.65 (.84)</w:t>
            </w:r>
          </w:p>
        </w:tc>
        <w:tc>
          <w:tcPr>
            <w:tcW w:w="1560" w:type="dxa"/>
            <w:tcBorders>
              <w:top w:val="nil"/>
              <w:left w:val="nil"/>
              <w:bottom w:val="nil"/>
              <w:right w:val="nil"/>
            </w:tcBorders>
            <w:shd w:val="clear" w:color="auto" w:fill="auto"/>
            <w:noWrap/>
            <w:vAlign w:val="bottom"/>
            <w:hideMark/>
          </w:tcPr>
          <w:p w14:paraId="2CA51096"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-1.60 (.</w:t>
            </w:r>
            <w:proofErr w:type="gramStart"/>
            <w:r w:rsidRPr="00C77D5F">
              <w:rPr>
                <w:rFonts w:eastAsia="Times New Roman"/>
                <w:color w:val="000000"/>
              </w:rPr>
              <w:t>97)*</w:t>
            </w:r>
            <w:proofErr w:type="gramEnd"/>
          </w:p>
        </w:tc>
        <w:tc>
          <w:tcPr>
            <w:tcW w:w="1660" w:type="dxa"/>
            <w:tcBorders>
              <w:top w:val="nil"/>
              <w:left w:val="nil"/>
              <w:bottom w:val="nil"/>
              <w:right w:val="nil"/>
            </w:tcBorders>
            <w:shd w:val="clear" w:color="auto" w:fill="auto"/>
            <w:noWrap/>
            <w:vAlign w:val="bottom"/>
            <w:hideMark/>
          </w:tcPr>
          <w:p w14:paraId="537A031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-0.64 (.85)</w:t>
            </w:r>
          </w:p>
        </w:tc>
        <w:tc>
          <w:tcPr>
            <w:tcW w:w="1620" w:type="dxa"/>
            <w:tcBorders>
              <w:top w:val="nil"/>
              <w:left w:val="nil"/>
              <w:bottom w:val="nil"/>
              <w:right w:val="nil"/>
            </w:tcBorders>
            <w:shd w:val="clear" w:color="auto" w:fill="auto"/>
            <w:noWrap/>
            <w:vAlign w:val="bottom"/>
            <w:hideMark/>
          </w:tcPr>
          <w:p w14:paraId="0AD45BFA"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-0.60 (.87)</w:t>
            </w:r>
          </w:p>
        </w:tc>
        <w:tc>
          <w:tcPr>
            <w:tcW w:w="1620" w:type="dxa"/>
            <w:tcBorders>
              <w:top w:val="nil"/>
              <w:left w:val="nil"/>
              <w:bottom w:val="nil"/>
              <w:right w:val="nil"/>
            </w:tcBorders>
            <w:shd w:val="clear" w:color="auto" w:fill="auto"/>
            <w:noWrap/>
            <w:vAlign w:val="bottom"/>
            <w:hideMark/>
          </w:tcPr>
          <w:p w14:paraId="0FD92D29"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-0.81 (.75)</w:t>
            </w:r>
          </w:p>
        </w:tc>
      </w:tr>
      <w:tr w:rsidR="00C77D5F" w:rsidRPr="00C77D5F" w14:paraId="62A561D8" w14:textId="77777777" w:rsidTr="00C278A1">
        <w:trPr>
          <w:trHeight w:val="315"/>
        </w:trPr>
        <w:tc>
          <w:tcPr>
            <w:tcW w:w="2340" w:type="dxa"/>
            <w:tcBorders>
              <w:top w:val="nil"/>
              <w:left w:val="nil"/>
              <w:bottom w:val="nil"/>
              <w:right w:val="nil"/>
            </w:tcBorders>
            <w:shd w:val="clear" w:color="auto" w:fill="auto"/>
            <w:noWrap/>
            <w:vAlign w:val="bottom"/>
            <w:hideMark/>
          </w:tcPr>
          <w:p w14:paraId="19D4A343" w14:textId="77777777" w:rsidR="00C77D5F" w:rsidRPr="00C77D5F" w:rsidRDefault="00C77D5F" w:rsidP="00C77D5F">
            <w:pPr>
              <w:spacing w:line="240" w:lineRule="auto"/>
              <w:rPr>
                <w:rFonts w:eastAsia="Times New Roman"/>
                <w:color w:val="000000"/>
              </w:rPr>
            </w:pPr>
            <w:r w:rsidRPr="00C77D5F">
              <w:rPr>
                <w:rFonts w:eastAsia="Times New Roman"/>
                <w:color w:val="000000"/>
              </w:rPr>
              <w:t>Transition Year</w:t>
            </w:r>
          </w:p>
        </w:tc>
        <w:tc>
          <w:tcPr>
            <w:tcW w:w="1730" w:type="dxa"/>
            <w:tcBorders>
              <w:top w:val="nil"/>
              <w:left w:val="nil"/>
              <w:bottom w:val="nil"/>
              <w:right w:val="nil"/>
            </w:tcBorders>
            <w:shd w:val="clear" w:color="auto" w:fill="auto"/>
            <w:noWrap/>
            <w:vAlign w:val="bottom"/>
            <w:hideMark/>
          </w:tcPr>
          <w:p w14:paraId="0D87F93D"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-2.24 (</w:t>
            </w:r>
            <w:proofErr w:type="gramStart"/>
            <w:r w:rsidRPr="00C77D5F">
              <w:rPr>
                <w:rFonts w:eastAsia="Times New Roman"/>
                <w:color w:val="000000"/>
              </w:rPr>
              <w:t>1.02)*</w:t>
            </w:r>
            <w:proofErr w:type="gramEnd"/>
            <w:r w:rsidRPr="00C77D5F">
              <w:rPr>
                <w:rFonts w:eastAsia="Times New Roman"/>
                <w:color w:val="000000"/>
              </w:rPr>
              <w:t>*</w:t>
            </w:r>
          </w:p>
        </w:tc>
        <w:tc>
          <w:tcPr>
            <w:tcW w:w="1560" w:type="dxa"/>
            <w:tcBorders>
              <w:top w:val="nil"/>
              <w:left w:val="nil"/>
              <w:bottom w:val="nil"/>
              <w:right w:val="nil"/>
            </w:tcBorders>
            <w:shd w:val="clear" w:color="auto" w:fill="auto"/>
            <w:noWrap/>
            <w:vAlign w:val="bottom"/>
            <w:hideMark/>
          </w:tcPr>
          <w:p w14:paraId="34715FF8"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-3.23 (.</w:t>
            </w:r>
            <w:proofErr w:type="gramStart"/>
            <w:r w:rsidRPr="00C77D5F">
              <w:rPr>
                <w:rFonts w:eastAsia="Times New Roman"/>
                <w:color w:val="000000"/>
              </w:rPr>
              <w:t>84)*</w:t>
            </w:r>
            <w:proofErr w:type="gramEnd"/>
            <w:r w:rsidRPr="00C77D5F">
              <w:rPr>
                <w:rFonts w:eastAsia="Times New Roman"/>
                <w:color w:val="000000"/>
              </w:rPr>
              <w:t>*</w:t>
            </w:r>
          </w:p>
        </w:tc>
        <w:tc>
          <w:tcPr>
            <w:tcW w:w="1660" w:type="dxa"/>
            <w:tcBorders>
              <w:top w:val="nil"/>
              <w:left w:val="nil"/>
              <w:bottom w:val="nil"/>
              <w:right w:val="nil"/>
            </w:tcBorders>
            <w:shd w:val="clear" w:color="auto" w:fill="auto"/>
            <w:noWrap/>
            <w:vAlign w:val="bottom"/>
            <w:hideMark/>
          </w:tcPr>
          <w:p w14:paraId="7C7B798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-2.28 (</w:t>
            </w:r>
            <w:proofErr w:type="gramStart"/>
            <w:r w:rsidRPr="00C77D5F">
              <w:rPr>
                <w:rFonts w:eastAsia="Times New Roman"/>
                <w:color w:val="000000"/>
              </w:rPr>
              <w:t>1.06)*</w:t>
            </w:r>
            <w:proofErr w:type="gramEnd"/>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27F1C7A6"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-2.31 (</w:t>
            </w:r>
            <w:proofErr w:type="gramStart"/>
            <w:r w:rsidRPr="00C77D5F">
              <w:rPr>
                <w:rFonts w:eastAsia="Times New Roman"/>
                <w:color w:val="000000"/>
              </w:rPr>
              <w:t>1.07)*</w:t>
            </w:r>
            <w:proofErr w:type="gramEnd"/>
            <w:r w:rsidRPr="00C77D5F">
              <w:rPr>
                <w:rFonts w:eastAsia="Times New Roman"/>
                <w:color w:val="000000"/>
              </w:rPr>
              <w:t>*</w:t>
            </w:r>
          </w:p>
        </w:tc>
        <w:tc>
          <w:tcPr>
            <w:tcW w:w="1620" w:type="dxa"/>
            <w:tcBorders>
              <w:top w:val="nil"/>
              <w:left w:val="nil"/>
              <w:bottom w:val="nil"/>
              <w:right w:val="nil"/>
            </w:tcBorders>
            <w:shd w:val="clear" w:color="auto" w:fill="auto"/>
            <w:noWrap/>
            <w:vAlign w:val="bottom"/>
            <w:hideMark/>
          </w:tcPr>
          <w:p w14:paraId="0184E72D"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-2.05 (</w:t>
            </w:r>
            <w:proofErr w:type="gramStart"/>
            <w:r w:rsidRPr="00C77D5F">
              <w:rPr>
                <w:rFonts w:eastAsia="Times New Roman"/>
                <w:color w:val="000000"/>
              </w:rPr>
              <w:t>1.07)*</w:t>
            </w:r>
            <w:proofErr w:type="gramEnd"/>
            <w:r w:rsidRPr="00C77D5F">
              <w:rPr>
                <w:rFonts w:eastAsia="Times New Roman"/>
                <w:color w:val="000000"/>
              </w:rPr>
              <w:t>*</w:t>
            </w:r>
          </w:p>
        </w:tc>
      </w:tr>
      <w:tr w:rsidR="00C77D5F" w:rsidRPr="00C77D5F" w14:paraId="1E7EFD9F" w14:textId="77777777" w:rsidTr="00C278A1">
        <w:trPr>
          <w:trHeight w:val="315"/>
        </w:trPr>
        <w:tc>
          <w:tcPr>
            <w:tcW w:w="2340" w:type="dxa"/>
            <w:tcBorders>
              <w:top w:val="nil"/>
              <w:left w:val="nil"/>
              <w:bottom w:val="nil"/>
              <w:right w:val="nil"/>
            </w:tcBorders>
            <w:shd w:val="clear" w:color="auto" w:fill="auto"/>
            <w:noWrap/>
            <w:vAlign w:val="bottom"/>
            <w:hideMark/>
          </w:tcPr>
          <w:p w14:paraId="7DA773A8" w14:textId="77777777" w:rsidR="00C77D5F" w:rsidRPr="00C77D5F" w:rsidRDefault="00C77D5F" w:rsidP="00C77D5F">
            <w:pPr>
              <w:spacing w:line="240" w:lineRule="auto"/>
              <w:rPr>
                <w:rFonts w:eastAsia="Times New Roman"/>
                <w:color w:val="000000"/>
              </w:rPr>
            </w:pPr>
            <w:r w:rsidRPr="00C77D5F">
              <w:rPr>
                <w:rFonts w:eastAsia="Times New Roman"/>
                <w:color w:val="000000"/>
              </w:rPr>
              <w:t>Year Leaving</w:t>
            </w:r>
          </w:p>
        </w:tc>
        <w:tc>
          <w:tcPr>
            <w:tcW w:w="1730" w:type="dxa"/>
            <w:tcBorders>
              <w:top w:val="nil"/>
              <w:left w:val="nil"/>
              <w:bottom w:val="nil"/>
              <w:right w:val="nil"/>
            </w:tcBorders>
            <w:shd w:val="clear" w:color="auto" w:fill="auto"/>
            <w:noWrap/>
            <w:vAlign w:val="bottom"/>
            <w:hideMark/>
          </w:tcPr>
          <w:p w14:paraId="1C0CF7AF"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-0.02 (.02)</w:t>
            </w:r>
          </w:p>
        </w:tc>
        <w:tc>
          <w:tcPr>
            <w:tcW w:w="1560" w:type="dxa"/>
            <w:tcBorders>
              <w:top w:val="nil"/>
              <w:left w:val="nil"/>
              <w:bottom w:val="nil"/>
              <w:right w:val="nil"/>
            </w:tcBorders>
            <w:shd w:val="clear" w:color="auto" w:fill="auto"/>
            <w:noWrap/>
            <w:vAlign w:val="bottom"/>
            <w:hideMark/>
          </w:tcPr>
          <w:p w14:paraId="3886AD98"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-0.02 (.02)</w:t>
            </w:r>
          </w:p>
        </w:tc>
        <w:tc>
          <w:tcPr>
            <w:tcW w:w="1660" w:type="dxa"/>
            <w:tcBorders>
              <w:top w:val="nil"/>
              <w:left w:val="nil"/>
              <w:bottom w:val="nil"/>
              <w:right w:val="nil"/>
            </w:tcBorders>
            <w:shd w:val="clear" w:color="auto" w:fill="auto"/>
            <w:noWrap/>
            <w:vAlign w:val="bottom"/>
            <w:hideMark/>
          </w:tcPr>
          <w:p w14:paraId="21BE82D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-0.02 (.02)</w:t>
            </w:r>
          </w:p>
        </w:tc>
        <w:tc>
          <w:tcPr>
            <w:tcW w:w="1620" w:type="dxa"/>
            <w:tcBorders>
              <w:top w:val="nil"/>
              <w:left w:val="nil"/>
              <w:bottom w:val="nil"/>
              <w:right w:val="nil"/>
            </w:tcBorders>
            <w:shd w:val="clear" w:color="auto" w:fill="auto"/>
            <w:noWrap/>
            <w:vAlign w:val="bottom"/>
            <w:hideMark/>
          </w:tcPr>
          <w:p w14:paraId="24ADB3FE"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-0.02 (.02)</w:t>
            </w:r>
          </w:p>
        </w:tc>
        <w:tc>
          <w:tcPr>
            <w:tcW w:w="1620" w:type="dxa"/>
            <w:tcBorders>
              <w:top w:val="nil"/>
              <w:left w:val="nil"/>
              <w:bottom w:val="nil"/>
              <w:right w:val="nil"/>
            </w:tcBorders>
            <w:shd w:val="clear" w:color="auto" w:fill="auto"/>
            <w:noWrap/>
            <w:vAlign w:val="bottom"/>
            <w:hideMark/>
          </w:tcPr>
          <w:p w14:paraId="36DEDADC"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-0.01 (.02)</w:t>
            </w:r>
          </w:p>
        </w:tc>
      </w:tr>
      <w:tr w:rsidR="00C77D5F" w:rsidRPr="00C77D5F" w14:paraId="1DFF45B6" w14:textId="77777777" w:rsidTr="00C278A1">
        <w:trPr>
          <w:trHeight w:val="315"/>
        </w:trPr>
        <w:tc>
          <w:tcPr>
            <w:tcW w:w="2340" w:type="dxa"/>
            <w:tcBorders>
              <w:top w:val="nil"/>
              <w:left w:val="nil"/>
              <w:bottom w:val="nil"/>
              <w:right w:val="nil"/>
            </w:tcBorders>
            <w:shd w:val="clear" w:color="auto" w:fill="auto"/>
            <w:noWrap/>
            <w:vAlign w:val="bottom"/>
            <w:hideMark/>
          </w:tcPr>
          <w:p w14:paraId="08D46C1F" w14:textId="77777777" w:rsidR="00C77D5F" w:rsidRPr="00C77D5F" w:rsidRDefault="00C77D5F" w:rsidP="00C77D5F">
            <w:pPr>
              <w:spacing w:line="240" w:lineRule="auto"/>
              <w:rPr>
                <w:rFonts w:eastAsia="Times New Roman"/>
                <w:color w:val="000000"/>
              </w:rPr>
            </w:pPr>
            <w:r w:rsidRPr="00C77D5F">
              <w:rPr>
                <w:rFonts w:eastAsia="Times New Roman"/>
                <w:color w:val="000000"/>
              </w:rPr>
              <w:t>Constant</w:t>
            </w:r>
          </w:p>
        </w:tc>
        <w:tc>
          <w:tcPr>
            <w:tcW w:w="1730" w:type="dxa"/>
            <w:tcBorders>
              <w:top w:val="nil"/>
              <w:left w:val="nil"/>
              <w:bottom w:val="nil"/>
              <w:right w:val="nil"/>
            </w:tcBorders>
            <w:shd w:val="clear" w:color="auto" w:fill="auto"/>
            <w:noWrap/>
            <w:vAlign w:val="bottom"/>
            <w:hideMark/>
          </w:tcPr>
          <w:p w14:paraId="58448CF2"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34.51 (43.23)</w:t>
            </w:r>
          </w:p>
        </w:tc>
        <w:tc>
          <w:tcPr>
            <w:tcW w:w="1560" w:type="dxa"/>
            <w:tcBorders>
              <w:top w:val="nil"/>
              <w:left w:val="nil"/>
              <w:bottom w:val="nil"/>
              <w:right w:val="nil"/>
            </w:tcBorders>
            <w:shd w:val="clear" w:color="auto" w:fill="auto"/>
            <w:noWrap/>
            <w:vAlign w:val="bottom"/>
            <w:hideMark/>
          </w:tcPr>
          <w:p w14:paraId="58DFF5C8"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37.43 (44.27)</w:t>
            </w:r>
          </w:p>
        </w:tc>
        <w:tc>
          <w:tcPr>
            <w:tcW w:w="1660" w:type="dxa"/>
            <w:tcBorders>
              <w:top w:val="nil"/>
              <w:left w:val="nil"/>
              <w:bottom w:val="nil"/>
              <w:right w:val="nil"/>
            </w:tcBorders>
            <w:shd w:val="clear" w:color="auto" w:fill="auto"/>
            <w:noWrap/>
            <w:vAlign w:val="bottom"/>
            <w:hideMark/>
          </w:tcPr>
          <w:p w14:paraId="22E4D9A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36.23 (42.89)</w:t>
            </w:r>
          </w:p>
        </w:tc>
        <w:tc>
          <w:tcPr>
            <w:tcW w:w="1620" w:type="dxa"/>
            <w:tcBorders>
              <w:top w:val="nil"/>
              <w:left w:val="nil"/>
              <w:bottom w:val="nil"/>
              <w:right w:val="nil"/>
            </w:tcBorders>
            <w:shd w:val="clear" w:color="auto" w:fill="auto"/>
            <w:noWrap/>
            <w:vAlign w:val="bottom"/>
            <w:hideMark/>
          </w:tcPr>
          <w:p w14:paraId="407E363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36.71 (44.52)</w:t>
            </w:r>
          </w:p>
        </w:tc>
        <w:tc>
          <w:tcPr>
            <w:tcW w:w="1620" w:type="dxa"/>
            <w:tcBorders>
              <w:top w:val="nil"/>
              <w:left w:val="nil"/>
              <w:bottom w:val="nil"/>
              <w:right w:val="nil"/>
            </w:tcBorders>
            <w:shd w:val="clear" w:color="auto" w:fill="auto"/>
            <w:noWrap/>
            <w:vAlign w:val="bottom"/>
            <w:hideMark/>
          </w:tcPr>
          <w:p w14:paraId="44F249A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23.72 (43.98)</w:t>
            </w:r>
          </w:p>
        </w:tc>
      </w:tr>
      <w:tr w:rsidR="00C77D5F" w:rsidRPr="00C77D5F" w14:paraId="4DD7A562" w14:textId="77777777" w:rsidTr="00C278A1">
        <w:trPr>
          <w:trHeight w:val="315"/>
        </w:trPr>
        <w:tc>
          <w:tcPr>
            <w:tcW w:w="2340" w:type="dxa"/>
            <w:tcBorders>
              <w:top w:val="nil"/>
              <w:left w:val="nil"/>
              <w:bottom w:val="nil"/>
              <w:right w:val="nil"/>
            </w:tcBorders>
            <w:shd w:val="clear" w:color="auto" w:fill="auto"/>
            <w:noWrap/>
            <w:vAlign w:val="bottom"/>
            <w:hideMark/>
          </w:tcPr>
          <w:p w14:paraId="65220EA3" w14:textId="77777777" w:rsidR="00C77D5F" w:rsidRPr="00C77D5F" w:rsidRDefault="00C77D5F" w:rsidP="00C77D5F">
            <w:pPr>
              <w:spacing w:line="240" w:lineRule="auto"/>
              <w:jc w:val="center"/>
              <w:rPr>
                <w:rFonts w:eastAsia="Times New Roman"/>
                <w:color w:val="000000"/>
              </w:rPr>
            </w:pPr>
          </w:p>
        </w:tc>
        <w:tc>
          <w:tcPr>
            <w:tcW w:w="1730" w:type="dxa"/>
            <w:tcBorders>
              <w:top w:val="nil"/>
              <w:left w:val="nil"/>
              <w:bottom w:val="nil"/>
              <w:right w:val="nil"/>
            </w:tcBorders>
            <w:shd w:val="clear" w:color="auto" w:fill="auto"/>
            <w:noWrap/>
            <w:vAlign w:val="bottom"/>
            <w:hideMark/>
          </w:tcPr>
          <w:p w14:paraId="669873E8" w14:textId="77777777" w:rsidR="00C77D5F" w:rsidRPr="00C77D5F" w:rsidRDefault="00C77D5F" w:rsidP="00C77D5F">
            <w:pPr>
              <w:spacing w:line="240" w:lineRule="auto"/>
              <w:rPr>
                <w:rFonts w:eastAsia="Times New Roman"/>
                <w:sz w:val="20"/>
                <w:szCs w:val="20"/>
              </w:rPr>
            </w:pPr>
          </w:p>
        </w:tc>
        <w:tc>
          <w:tcPr>
            <w:tcW w:w="1560" w:type="dxa"/>
            <w:tcBorders>
              <w:top w:val="nil"/>
              <w:left w:val="nil"/>
              <w:bottom w:val="nil"/>
              <w:right w:val="nil"/>
            </w:tcBorders>
            <w:shd w:val="clear" w:color="auto" w:fill="auto"/>
            <w:noWrap/>
            <w:vAlign w:val="bottom"/>
            <w:hideMark/>
          </w:tcPr>
          <w:p w14:paraId="01A36C51" w14:textId="77777777" w:rsidR="00C77D5F" w:rsidRPr="00C77D5F" w:rsidRDefault="00C77D5F" w:rsidP="00C77D5F">
            <w:pPr>
              <w:spacing w:line="240" w:lineRule="auto"/>
              <w:jc w:val="center"/>
              <w:rPr>
                <w:rFonts w:eastAsia="Times New Roman"/>
                <w:sz w:val="20"/>
                <w:szCs w:val="20"/>
              </w:rPr>
            </w:pPr>
          </w:p>
        </w:tc>
        <w:tc>
          <w:tcPr>
            <w:tcW w:w="1660" w:type="dxa"/>
            <w:tcBorders>
              <w:top w:val="nil"/>
              <w:left w:val="nil"/>
              <w:bottom w:val="nil"/>
              <w:right w:val="nil"/>
            </w:tcBorders>
            <w:shd w:val="clear" w:color="auto" w:fill="auto"/>
            <w:noWrap/>
            <w:vAlign w:val="bottom"/>
            <w:hideMark/>
          </w:tcPr>
          <w:p w14:paraId="757F1B84" w14:textId="77777777" w:rsidR="00C77D5F" w:rsidRPr="00C77D5F" w:rsidRDefault="00C77D5F" w:rsidP="00C77D5F">
            <w:pPr>
              <w:spacing w:line="240" w:lineRule="auto"/>
              <w:jc w:val="center"/>
              <w:rPr>
                <w:rFonts w:eastAsia="Times New Roman"/>
                <w:sz w:val="20"/>
                <w:szCs w:val="20"/>
              </w:rPr>
            </w:pPr>
          </w:p>
        </w:tc>
        <w:tc>
          <w:tcPr>
            <w:tcW w:w="1620" w:type="dxa"/>
            <w:tcBorders>
              <w:top w:val="nil"/>
              <w:left w:val="nil"/>
              <w:bottom w:val="nil"/>
              <w:right w:val="nil"/>
            </w:tcBorders>
            <w:shd w:val="clear" w:color="auto" w:fill="auto"/>
            <w:noWrap/>
            <w:vAlign w:val="bottom"/>
            <w:hideMark/>
          </w:tcPr>
          <w:p w14:paraId="284F8AB8" w14:textId="77777777" w:rsidR="00C77D5F" w:rsidRPr="00C77D5F" w:rsidRDefault="00C77D5F" w:rsidP="00C77D5F">
            <w:pPr>
              <w:spacing w:line="240" w:lineRule="auto"/>
              <w:jc w:val="center"/>
              <w:rPr>
                <w:rFonts w:eastAsia="Times New Roman"/>
                <w:sz w:val="20"/>
                <w:szCs w:val="20"/>
              </w:rPr>
            </w:pPr>
          </w:p>
        </w:tc>
        <w:tc>
          <w:tcPr>
            <w:tcW w:w="1620" w:type="dxa"/>
            <w:tcBorders>
              <w:top w:val="nil"/>
              <w:left w:val="nil"/>
              <w:bottom w:val="nil"/>
              <w:right w:val="nil"/>
            </w:tcBorders>
            <w:shd w:val="clear" w:color="auto" w:fill="auto"/>
            <w:noWrap/>
            <w:vAlign w:val="bottom"/>
            <w:hideMark/>
          </w:tcPr>
          <w:p w14:paraId="0E898C4A" w14:textId="77777777" w:rsidR="00C77D5F" w:rsidRPr="00C77D5F" w:rsidRDefault="00C77D5F" w:rsidP="00C77D5F">
            <w:pPr>
              <w:spacing w:line="240" w:lineRule="auto"/>
              <w:jc w:val="center"/>
              <w:rPr>
                <w:rFonts w:eastAsia="Times New Roman"/>
                <w:sz w:val="20"/>
                <w:szCs w:val="20"/>
              </w:rPr>
            </w:pPr>
          </w:p>
        </w:tc>
      </w:tr>
      <w:tr w:rsidR="00C77D5F" w:rsidRPr="00C77D5F" w14:paraId="6677BF27" w14:textId="77777777" w:rsidTr="00C278A1">
        <w:trPr>
          <w:trHeight w:val="315"/>
        </w:trPr>
        <w:tc>
          <w:tcPr>
            <w:tcW w:w="2340" w:type="dxa"/>
            <w:tcBorders>
              <w:top w:val="nil"/>
              <w:left w:val="nil"/>
              <w:bottom w:val="nil"/>
              <w:right w:val="nil"/>
            </w:tcBorders>
            <w:shd w:val="clear" w:color="auto" w:fill="auto"/>
            <w:noWrap/>
            <w:vAlign w:val="bottom"/>
            <w:hideMark/>
          </w:tcPr>
          <w:p w14:paraId="64F08AC6" w14:textId="77777777" w:rsidR="00C77D5F" w:rsidRPr="00C77D5F" w:rsidRDefault="00C77D5F" w:rsidP="00C77D5F">
            <w:pPr>
              <w:spacing w:line="240" w:lineRule="auto"/>
              <w:rPr>
                <w:rFonts w:eastAsia="Times New Roman"/>
                <w:color w:val="000000"/>
              </w:rPr>
            </w:pPr>
            <w:r w:rsidRPr="00C77D5F">
              <w:rPr>
                <w:rFonts w:eastAsia="Times New Roman"/>
                <w:color w:val="000000"/>
              </w:rPr>
              <w:t>N</w:t>
            </w:r>
          </w:p>
        </w:tc>
        <w:tc>
          <w:tcPr>
            <w:tcW w:w="1730" w:type="dxa"/>
            <w:tcBorders>
              <w:top w:val="nil"/>
              <w:left w:val="nil"/>
              <w:bottom w:val="nil"/>
              <w:right w:val="nil"/>
            </w:tcBorders>
            <w:shd w:val="clear" w:color="auto" w:fill="auto"/>
            <w:noWrap/>
            <w:vAlign w:val="bottom"/>
            <w:hideMark/>
          </w:tcPr>
          <w:p w14:paraId="7B08B687"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457</w:t>
            </w:r>
          </w:p>
        </w:tc>
        <w:tc>
          <w:tcPr>
            <w:tcW w:w="1560" w:type="dxa"/>
            <w:tcBorders>
              <w:top w:val="nil"/>
              <w:left w:val="nil"/>
              <w:bottom w:val="nil"/>
              <w:right w:val="nil"/>
            </w:tcBorders>
            <w:shd w:val="clear" w:color="auto" w:fill="auto"/>
            <w:noWrap/>
            <w:vAlign w:val="bottom"/>
            <w:hideMark/>
          </w:tcPr>
          <w:p w14:paraId="184F48C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457</w:t>
            </w:r>
          </w:p>
        </w:tc>
        <w:tc>
          <w:tcPr>
            <w:tcW w:w="1660" w:type="dxa"/>
            <w:tcBorders>
              <w:top w:val="nil"/>
              <w:left w:val="nil"/>
              <w:bottom w:val="nil"/>
              <w:right w:val="nil"/>
            </w:tcBorders>
            <w:shd w:val="clear" w:color="auto" w:fill="auto"/>
            <w:noWrap/>
            <w:vAlign w:val="bottom"/>
            <w:hideMark/>
          </w:tcPr>
          <w:p w14:paraId="34A73416"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457</w:t>
            </w:r>
          </w:p>
        </w:tc>
        <w:tc>
          <w:tcPr>
            <w:tcW w:w="1620" w:type="dxa"/>
            <w:tcBorders>
              <w:top w:val="nil"/>
              <w:left w:val="nil"/>
              <w:bottom w:val="nil"/>
              <w:right w:val="nil"/>
            </w:tcBorders>
            <w:shd w:val="clear" w:color="auto" w:fill="auto"/>
            <w:noWrap/>
            <w:vAlign w:val="bottom"/>
            <w:hideMark/>
          </w:tcPr>
          <w:p w14:paraId="0D86024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457</w:t>
            </w:r>
          </w:p>
        </w:tc>
        <w:tc>
          <w:tcPr>
            <w:tcW w:w="1620" w:type="dxa"/>
            <w:tcBorders>
              <w:top w:val="nil"/>
              <w:left w:val="nil"/>
              <w:bottom w:val="nil"/>
              <w:right w:val="nil"/>
            </w:tcBorders>
            <w:shd w:val="clear" w:color="auto" w:fill="auto"/>
            <w:noWrap/>
            <w:vAlign w:val="bottom"/>
            <w:hideMark/>
          </w:tcPr>
          <w:p w14:paraId="6911AF1C"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457</w:t>
            </w:r>
          </w:p>
        </w:tc>
      </w:tr>
      <w:tr w:rsidR="00C77D5F" w:rsidRPr="00C77D5F" w14:paraId="7196EDA9" w14:textId="77777777" w:rsidTr="00C278A1">
        <w:trPr>
          <w:trHeight w:val="315"/>
        </w:trPr>
        <w:tc>
          <w:tcPr>
            <w:tcW w:w="2340" w:type="dxa"/>
            <w:tcBorders>
              <w:top w:val="nil"/>
              <w:left w:val="nil"/>
              <w:bottom w:val="nil"/>
              <w:right w:val="nil"/>
            </w:tcBorders>
            <w:shd w:val="clear" w:color="auto" w:fill="auto"/>
            <w:noWrap/>
            <w:vAlign w:val="bottom"/>
            <w:hideMark/>
          </w:tcPr>
          <w:p w14:paraId="1AED3049" w14:textId="77777777" w:rsidR="00C77D5F" w:rsidRPr="00C77D5F" w:rsidRDefault="00C77D5F" w:rsidP="00C77D5F">
            <w:pPr>
              <w:spacing w:line="240" w:lineRule="auto"/>
              <w:rPr>
                <w:rFonts w:eastAsia="Times New Roman"/>
                <w:color w:val="000000"/>
              </w:rPr>
            </w:pPr>
            <w:r w:rsidRPr="00C77D5F">
              <w:rPr>
                <w:rFonts w:eastAsia="Times New Roman"/>
                <w:color w:val="000000"/>
              </w:rPr>
              <w:t>Districts</w:t>
            </w:r>
          </w:p>
        </w:tc>
        <w:tc>
          <w:tcPr>
            <w:tcW w:w="1730" w:type="dxa"/>
            <w:tcBorders>
              <w:top w:val="nil"/>
              <w:left w:val="nil"/>
              <w:bottom w:val="nil"/>
              <w:right w:val="nil"/>
            </w:tcBorders>
            <w:shd w:val="clear" w:color="auto" w:fill="auto"/>
            <w:noWrap/>
            <w:vAlign w:val="bottom"/>
            <w:hideMark/>
          </w:tcPr>
          <w:p w14:paraId="1862105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90</w:t>
            </w:r>
          </w:p>
        </w:tc>
        <w:tc>
          <w:tcPr>
            <w:tcW w:w="1560" w:type="dxa"/>
            <w:tcBorders>
              <w:top w:val="nil"/>
              <w:left w:val="nil"/>
              <w:bottom w:val="nil"/>
              <w:right w:val="nil"/>
            </w:tcBorders>
            <w:shd w:val="clear" w:color="auto" w:fill="auto"/>
            <w:noWrap/>
            <w:vAlign w:val="bottom"/>
            <w:hideMark/>
          </w:tcPr>
          <w:p w14:paraId="051915A6"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90</w:t>
            </w:r>
          </w:p>
        </w:tc>
        <w:tc>
          <w:tcPr>
            <w:tcW w:w="1660" w:type="dxa"/>
            <w:tcBorders>
              <w:top w:val="nil"/>
              <w:left w:val="nil"/>
              <w:bottom w:val="nil"/>
              <w:right w:val="nil"/>
            </w:tcBorders>
            <w:shd w:val="clear" w:color="auto" w:fill="auto"/>
            <w:noWrap/>
            <w:vAlign w:val="bottom"/>
            <w:hideMark/>
          </w:tcPr>
          <w:p w14:paraId="2E603E73"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90</w:t>
            </w:r>
          </w:p>
        </w:tc>
        <w:tc>
          <w:tcPr>
            <w:tcW w:w="1620" w:type="dxa"/>
            <w:tcBorders>
              <w:top w:val="nil"/>
              <w:left w:val="nil"/>
              <w:bottom w:val="nil"/>
              <w:right w:val="nil"/>
            </w:tcBorders>
            <w:shd w:val="clear" w:color="auto" w:fill="auto"/>
            <w:noWrap/>
            <w:vAlign w:val="bottom"/>
            <w:hideMark/>
          </w:tcPr>
          <w:p w14:paraId="3D487DA5"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90</w:t>
            </w:r>
          </w:p>
        </w:tc>
        <w:tc>
          <w:tcPr>
            <w:tcW w:w="1620" w:type="dxa"/>
            <w:tcBorders>
              <w:top w:val="nil"/>
              <w:left w:val="nil"/>
              <w:bottom w:val="nil"/>
              <w:right w:val="nil"/>
            </w:tcBorders>
            <w:shd w:val="clear" w:color="auto" w:fill="auto"/>
            <w:noWrap/>
            <w:vAlign w:val="bottom"/>
            <w:hideMark/>
          </w:tcPr>
          <w:p w14:paraId="210901CE"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90</w:t>
            </w:r>
          </w:p>
        </w:tc>
      </w:tr>
      <w:tr w:rsidR="00C77D5F" w:rsidRPr="00C77D5F" w14:paraId="43D2A2A9" w14:textId="77777777" w:rsidTr="00C278A1">
        <w:trPr>
          <w:trHeight w:val="375"/>
        </w:trPr>
        <w:tc>
          <w:tcPr>
            <w:tcW w:w="2340" w:type="dxa"/>
            <w:tcBorders>
              <w:top w:val="nil"/>
              <w:left w:val="nil"/>
              <w:bottom w:val="nil"/>
              <w:right w:val="nil"/>
            </w:tcBorders>
            <w:shd w:val="clear" w:color="auto" w:fill="auto"/>
            <w:noWrap/>
            <w:vAlign w:val="bottom"/>
            <w:hideMark/>
          </w:tcPr>
          <w:p w14:paraId="46286494" w14:textId="77777777" w:rsidR="00C77D5F" w:rsidRPr="00C77D5F" w:rsidRDefault="00C77D5F" w:rsidP="00C77D5F">
            <w:pPr>
              <w:spacing w:line="240" w:lineRule="auto"/>
              <w:rPr>
                <w:rFonts w:eastAsia="Times New Roman"/>
                <w:color w:val="000000"/>
              </w:rPr>
            </w:pPr>
            <w:r w:rsidRPr="00C77D5F">
              <w:rPr>
                <w:rFonts w:eastAsia="Times New Roman"/>
                <w:color w:val="000000"/>
              </w:rPr>
              <w:t>Wald χ</w:t>
            </w:r>
            <w:r w:rsidRPr="00C77D5F">
              <w:rPr>
                <w:rFonts w:eastAsia="Times New Roman"/>
                <w:color w:val="000000"/>
                <w:vertAlign w:val="superscript"/>
              </w:rPr>
              <w:t>2</w:t>
            </w:r>
          </w:p>
        </w:tc>
        <w:tc>
          <w:tcPr>
            <w:tcW w:w="1730" w:type="dxa"/>
            <w:tcBorders>
              <w:top w:val="nil"/>
              <w:left w:val="nil"/>
              <w:bottom w:val="nil"/>
              <w:right w:val="nil"/>
            </w:tcBorders>
            <w:shd w:val="clear" w:color="auto" w:fill="auto"/>
            <w:noWrap/>
            <w:vAlign w:val="bottom"/>
            <w:hideMark/>
          </w:tcPr>
          <w:p w14:paraId="16A76918"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85.74 (0.00)</w:t>
            </w:r>
          </w:p>
        </w:tc>
        <w:tc>
          <w:tcPr>
            <w:tcW w:w="1560" w:type="dxa"/>
            <w:tcBorders>
              <w:top w:val="nil"/>
              <w:left w:val="nil"/>
              <w:bottom w:val="nil"/>
              <w:right w:val="nil"/>
            </w:tcBorders>
            <w:shd w:val="clear" w:color="auto" w:fill="auto"/>
            <w:noWrap/>
            <w:vAlign w:val="bottom"/>
            <w:hideMark/>
          </w:tcPr>
          <w:p w14:paraId="2F7783B4"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86.41 (0.00)</w:t>
            </w:r>
          </w:p>
        </w:tc>
        <w:tc>
          <w:tcPr>
            <w:tcW w:w="1660" w:type="dxa"/>
            <w:tcBorders>
              <w:top w:val="nil"/>
              <w:left w:val="nil"/>
              <w:bottom w:val="nil"/>
              <w:right w:val="nil"/>
            </w:tcBorders>
            <w:shd w:val="clear" w:color="auto" w:fill="auto"/>
            <w:noWrap/>
            <w:vAlign w:val="bottom"/>
            <w:hideMark/>
          </w:tcPr>
          <w:p w14:paraId="17045CE5"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74.63 (0.00)</w:t>
            </w:r>
          </w:p>
        </w:tc>
        <w:tc>
          <w:tcPr>
            <w:tcW w:w="1620" w:type="dxa"/>
            <w:tcBorders>
              <w:top w:val="nil"/>
              <w:left w:val="nil"/>
              <w:bottom w:val="nil"/>
              <w:right w:val="nil"/>
            </w:tcBorders>
            <w:shd w:val="clear" w:color="auto" w:fill="auto"/>
            <w:noWrap/>
            <w:vAlign w:val="bottom"/>
            <w:hideMark/>
          </w:tcPr>
          <w:p w14:paraId="1D6C8221"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76.05 (0.00)</w:t>
            </w:r>
          </w:p>
        </w:tc>
        <w:tc>
          <w:tcPr>
            <w:tcW w:w="1620" w:type="dxa"/>
            <w:tcBorders>
              <w:top w:val="nil"/>
              <w:left w:val="nil"/>
              <w:bottom w:val="nil"/>
              <w:right w:val="nil"/>
            </w:tcBorders>
            <w:shd w:val="clear" w:color="auto" w:fill="auto"/>
            <w:noWrap/>
            <w:vAlign w:val="bottom"/>
            <w:hideMark/>
          </w:tcPr>
          <w:p w14:paraId="66C8E3A8"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81.32 (0.00)</w:t>
            </w:r>
          </w:p>
        </w:tc>
      </w:tr>
      <w:tr w:rsidR="00C77D5F" w:rsidRPr="00C77D5F" w14:paraId="71212930" w14:textId="77777777" w:rsidTr="00C278A1">
        <w:trPr>
          <w:trHeight w:val="315"/>
        </w:trPr>
        <w:tc>
          <w:tcPr>
            <w:tcW w:w="2340" w:type="dxa"/>
            <w:tcBorders>
              <w:top w:val="nil"/>
              <w:left w:val="nil"/>
              <w:bottom w:val="single" w:sz="4" w:space="0" w:color="auto"/>
              <w:right w:val="nil"/>
            </w:tcBorders>
            <w:shd w:val="clear" w:color="auto" w:fill="auto"/>
            <w:noWrap/>
            <w:vAlign w:val="bottom"/>
            <w:hideMark/>
          </w:tcPr>
          <w:p w14:paraId="02B70630" w14:textId="77777777" w:rsidR="00C77D5F" w:rsidRPr="00C77D5F" w:rsidRDefault="00C77D5F" w:rsidP="00C77D5F">
            <w:pPr>
              <w:spacing w:line="240" w:lineRule="auto"/>
              <w:rPr>
                <w:rFonts w:eastAsia="Times New Roman"/>
                <w:color w:val="000000"/>
              </w:rPr>
            </w:pPr>
            <w:r w:rsidRPr="00C77D5F">
              <w:rPr>
                <w:rFonts w:eastAsia="Times New Roman"/>
                <w:color w:val="000000"/>
              </w:rPr>
              <w:t>Area under ROC</w:t>
            </w:r>
          </w:p>
        </w:tc>
        <w:tc>
          <w:tcPr>
            <w:tcW w:w="1730" w:type="dxa"/>
            <w:tcBorders>
              <w:top w:val="nil"/>
              <w:left w:val="nil"/>
              <w:bottom w:val="single" w:sz="4" w:space="0" w:color="auto"/>
              <w:right w:val="nil"/>
            </w:tcBorders>
            <w:shd w:val="clear" w:color="auto" w:fill="auto"/>
            <w:noWrap/>
            <w:vAlign w:val="bottom"/>
            <w:hideMark/>
          </w:tcPr>
          <w:p w14:paraId="42751C48"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0.83</w:t>
            </w:r>
          </w:p>
        </w:tc>
        <w:tc>
          <w:tcPr>
            <w:tcW w:w="1560" w:type="dxa"/>
            <w:tcBorders>
              <w:top w:val="nil"/>
              <w:left w:val="nil"/>
              <w:bottom w:val="single" w:sz="4" w:space="0" w:color="auto"/>
              <w:right w:val="nil"/>
            </w:tcBorders>
            <w:shd w:val="clear" w:color="auto" w:fill="auto"/>
            <w:noWrap/>
            <w:vAlign w:val="bottom"/>
            <w:hideMark/>
          </w:tcPr>
          <w:p w14:paraId="21CABC85"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0.84</w:t>
            </w:r>
          </w:p>
        </w:tc>
        <w:tc>
          <w:tcPr>
            <w:tcW w:w="1660" w:type="dxa"/>
            <w:tcBorders>
              <w:top w:val="nil"/>
              <w:left w:val="nil"/>
              <w:bottom w:val="single" w:sz="4" w:space="0" w:color="auto"/>
              <w:right w:val="nil"/>
            </w:tcBorders>
            <w:shd w:val="clear" w:color="auto" w:fill="auto"/>
            <w:noWrap/>
            <w:vAlign w:val="bottom"/>
            <w:hideMark/>
          </w:tcPr>
          <w:p w14:paraId="79AEF3EF"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0.83</w:t>
            </w:r>
          </w:p>
        </w:tc>
        <w:tc>
          <w:tcPr>
            <w:tcW w:w="1620" w:type="dxa"/>
            <w:tcBorders>
              <w:top w:val="nil"/>
              <w:left w:val="nil"/>
              <w:bottom w:val="single" w:sz="4" w:space="0" w:color="auto"/>
              <w:right w:val="nil"/>
            </w:tcBorders>
            <w:shd w:val="clear" w:color="auto" w:fill="auto"/>
            <w:noWrap/>
            <w:vAlign w:val="bottom"/>
            <w:hideMark/>
          </w:tcPr>
          <w:p w14:paraId="47D10BD0"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0.83</w:t>
            </w:r>
          </w:p>
        </w:tc>
        <w:tc>
          <w:tcPr>
            <w:tcW w:w="1620" w:type="dxa"/>
            <w:tcBorders>
              <w:top w:val="nil"/>
              <w:left w:val="nil"/>
              <w:bottom w:val="single" w:sz="4" w:space="0" w:color="auto"/>
              <w:right w:val="nil"/>
            </w:tcBorders>
            <w:shd w:val="clear" w:color="auto" w:fill="auto"/>
            <w:noWrap/>
            <w:vAlign w:val="bottom"/>
            <w:hideMark/>
          </w:tcPr>
          <w:p w14:paraId="39BF0B4C" w14:textId="77777777" w:rsidR="00C77D5F" w:rsidRPr="00C77D5F" w:rsidRDefault="00C77D5F" w:rsidP="00C77D5F">
            <w:pPr>
              <w:spacing w:line="240" w:lineRule="auto"/>
              <w:jc w:val="center"/>
              <w:rPr>
                <w:rFonts w:eastAsia="Times New Roman"/>
                <w:color w:val="000000"/>
              </w:rPr>
            </w:pPr>
            <w:r w:rsidRPr="00C77D5F">
              <w:rPr>
                <w:rFonts w:eastAsia="Times New Roman"/>
                <w:color w:val="000000"/>
              </w:rPr>
              <w:t>0.84</w:t>
            </w:r>
          </w:p>
        </w:tc>
      </w:tr>
    </w:tbl>
    <w:p w14:paraId="5D5E0F63" w14:textId="0040D212" w:rsidR="001044A2" w:rsidRPr="00811B77" w:rsidRDefault="001044A2" w:rsidP="00E029C2">
      <w:pPr>
        <w:spacing w:line="240" w:lineRule="auto"/>
      </w:pPr>
      <w:r w:rsidRPr="001044A2">
        <w:t>** is statistically significant at p &lt; 0.05 (two-tailed); * is statistically significant at p &lt; 0.10 (two-tailed).</w:t>
      </w:r>
    </w:p>
    <w:sectPr w:rsidR="001044A2" w:rsidRPr="00811B77" w:rsidSect="00DB79C7">
      <w:footerReference w:type="default" r:id="rId11"/>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92B5F" w14:textId="77777777" w:rsidR="00E33815" w:rsidRDefault="00E33815" w:rsidP="001E3D47">
      <w:pPr>
        <w:spacing w:line="240" w:lineRule="auto"/>
      </w:pPr>
      <w:r>
        <w:separator/>
      </w:r>
    </w:p>
  </w:endnote>
  <w:endnote w:type="continuationSeparator" w:id="0">
    <w:p w14:paraId="07D5C9FF" w14:textId="77777777" w:rsidR="00E33815" w:rsidRDefault="00E33815" w:rsidP="001E3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2234179"/>
      <w:docPartObj>
        <w:docPartGallery w:val="Page Numbers (Bottom of Page)"/>
        <w:docPartUnique/>
      </w:docPartObj>
    </w:sdtPr>
    <w:sdtEndPr>
      <w:rPr>
        <w:noProof/>
      </w:rPr>
    </w:sdtEndPr>
    <w:sdtContent>
      <w:p w14:paraId="7B290BBA" w14:textId="7F6C6793" w:rsidR="006573A0" w:rsidRDefault="006573A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70B3D8A0" w14:textId="77777777" w:rsidR="006573A0" w:rsidRDefault="00657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4BB16" w14:textId="77777777" w:rsidR="00E33815" w:rsidRDefault="00E33815" w:rsidP="001E3D47">
      <w:pPr>
        <w:spacing w:line="240" w:lineRule="auto"/>
      </w:pPr>
      <w:r>
        <w:separator/>
      </w:r>
    </w:p>
  </w:footnote>
  <w:footnote w:type="continuationSeparator" w:id="0">
    <w:p w14:paraId="22FB5718" w14:textId="77777777" w:rsidR="00E33815" w:rsidRDefault="00E33815" w:rsidP="001E3D47">
      <w:pPr>
        <w:spacing w:line="240" w:lineRule="auto"/>
      </w:pPr>
      <w:r>
        <w:continuationSeparator/>
      </w:r>
    </w:p>
  </w:footnote>
  <w:footnote w:id="1">
    <w:p w14:paraId="75D3DC6E" w14:textId="4953A268" w:rsidR="006573A0" w:rsidRPr="00B802E1" w:rsidRDefault="006573A0" w:rsidP="00B802E1">
      <w:pPr>
        <w:rPr>
          <w:rFonts w:eastAsia="Times New Roman"/>
        </w:rPr>
      </w:pPr>
      <w:r w:rsidRPr="006C2FC9">
        <w:rPr>
          <w:rStyle w:val="FootnoteReference"/>
          <w:sz w:val="20"/>
          <w:szCs w:val="20"/>
        </w:rPr>
        <w:footnoteRef/>
      </w:r>
      <w:r w:rsidRPr="006C2FC9">
        <w:rPr>
          <w:sz w:val="20"/>
          <w:szCs w:val="20"/>
        </w:rPr>
        <w:t xml:space="preserve"> Still others pivot to electoral politics or private practice but, because they involve presidential selection, we restrict our focus here to promotions within the federal government. </w:t>
      </w:r>
      <w:r>
        <w:rPr>
          <w:sz w:val="20"/>
          <w:szCs w:val="20"/>
        </w:rPr>
        <w:t xml:space="preserve">Judicial positions refer to Article III judgeships—almost always federal district judgeships. Typical examples </w:t>
      </w:r>
      <w:r w:rsidRPr="006C2FC9">
        <w:rPr>
          <w:sz w:val="20"/>
          <w:szCs w:val="20"/>
        </w:rPr>
        <w:t xml:space="preserve">of promotion to </w:t>
      </w:r>
      <w:r>
        <w:rPr>
          <w:sz w:val="20"/>
          <w:szCs w:val="20"/>
        </w:rPr>
        <w:t xml:space="preserve">a </w:t>
      </w:r>
      <w:r w:rsidRPr="006C2FC9">
        <w:rPr>
          <w:sz w:val="20"/>
          <w:szCs w:val="20"/>
        </w:rPr>
        <w:t xml:space="preserve">higher level position within the Executive branch </w:t>
      </w:r>
      <w:r>
        <w:rPr>
          <w:sz w:val="20"/>
          <w:szCs w:val="20"/>
        </w:rPr>
        <w:t xml:space="preserve">include: </w:t>
      </w:r>
      <w:r w:rsidRPr="006C2FC9">
        <w:rPr>
          <w:sz w:val="20"/>
          <w:szCs w:val="20"/>
        </w:rPr>
        <w:t xml:space="preserve"> James Comey who, after serving as USA for the Southern District of New York, was Deputy Attorney General under John Ashcroft and later Alberto Gonzales</w:t>
      </w:r>
      <w:r>
        <w:rPr>
          <w:sz w:val="20"/>
          <w:szCs w:val="20"/>
        </w:rPr>
        <w:t xml:space="preserve">; </w:t>
      </w:r>
      <w:r w:rsidRPr="006C2FC9">
        <w:rPr>
          <w:sz w:val="20"/>
          <w:szCs w:val="20"/>
        </w:rPr>
        <w:t xml:space="preserve"> </w:t>
      </w:r>
      <w:r>
        <w:rPr>
          <w:sz w:val="20"/>
          <w:szCs w:val="20"/>
        </w:rPr>
        <w:t xml:space="preserve">former USA for the Northern District of Texas </w:t>
      </w:r>
      <w:r w:rsidRPr="006C2FC9">
        <w:rPr>
          <w:sz w:val="20"/>
          <w:szCs w:val="20"/>
        </w:rPr>
        <w:t>Sarah Salda</w:t>
      </w:r>
      <w:r w:rsidRPr="006C2FC9">
        <w:rPr>
          <w:rFonts w:eastAsia="Times New Roman"/>
          <w:bCs/>
          <w:color w:val="222222"/>
          <w:sz w:val="20"/>
          <w:szCs w:val="20"/>
        </w:rPr>
        <w:t>ñ</w:t>
      </w:r>
      <w:r>
        <w:rPr>
          <w:rFonts w:eastAsia="Times New Roman"/>
          <w:bCs/>
          <w:color w:val="222222"/>
          <w:sz w:val="20"/>
          <w:szCs w:val="20"/>
        </w:rPr>
        <w:t>a, whom President Obama promoted to Director of Immigrations and Customs Enforcement in 2014; and Donald Ayer of California’s Eastern District, a Reagan appointee who went on to serve as Principal Deputy Solicitor General in 1986.</w:t>
      </w:r>
    </w:p>
    <w:p w14:paraId="2E07C1F1" w14:textId="67292499" w:rsidR="006573A0" w:rsidRDefault="006573A0">
      <w:pPr>
        <w:pStyle w:val="FootnoteText"/>
      </w:pPr>
    </w:p>
  </w:footnote>
  <w:footnote w:id="2">
    <w:p w14:paraId="0212C658" w14:textId="21301436" w:rsidR="006573A0" w:rsidRDefault="006573A0">
      <w:pPr>
        <w:pStyle w:val="FootnoteText"/>
      </w:pPr>
      <w:r>
        <w:rPr>
          <w:rStyle w:val="FootnoteReference"/>
        </w:rPr>
        <w:footnoteRef/>
      </w:r>
      <w:r>
        <w:t xml:space="preserve"> By underrepresented we mean anyone who is not a white man. In our data, this includes women, African Americans, Latinx, and Asian Americans. There are no Native Americans in our data, but they would be included in this group if present. </w:t>
      </w:r>
    </w:p>
  </w:footnote>
  <w:footnote w:id="3">
    <w:p w14:paraId="2B939F6E" w14:textId="495E33EE" w:rsidR="006573A0" w:rsidRDefault="006573A0">
      <w:pPr>
        <w:pStyle w:val="FootnoteText"/>
      </w:pPr>
      <w:r>
        <w:rPr>
          <w:rStyle w:val="FootnoteReference"/>
        </w:rPr>
        <w:footnoteRef/>
      </w:r>
      <w:r>
        <w:t xml:space="preserve"> For interested readers, 85% of President Reagan’s, 73% of H.W. Bush’s, 52% of Clinton’s, 67% of W. Bush’s, and 38% of Obama’s district court appointees were white males.</w:t>
      </w:r>
    </w:p>
  </w:footnote>
  <w:footnote w:id="4">
    <w:p w14:paraId="63B38B46" w14:textId="51047E7B" w:rsidR="006573A0" w:rsidRPr="00A339F7" w:rsidRDefault="006573A0">
      <w:pPr>
        <w:pStyle w:val="FootnoteText"/>
      </w:pPr>
      <w:r>
        <w:rPr>
          <w:rStyle w:val="FootnoteReference"/>
        </w:rPr>
        <w:footnoteRef/>
      </w:r>
      <w:r>
        <w:t xml:space="preserve"> This flows from the expectation that administrations will hold those from traditionally underrepresented groups to more exacting qualification standards than white men—as applied here, this suggests the possession of the USA qualification should be more dispositive for those from traditionally underrepresented groups. We do not imply this means an administration must be strongly committed to diversity-related goals in staffing these positions to rely more heavily on formal qualifications for nontraditional candidates. Based on extant literature, we predict convergence on the elevated importance of qualifications. The </w:t>
      </w:r>
      <w:r>
        <w:rPr>
          <w:i/>
          <w:iCs/>
        </w:rPr>
        <w:t xml:space="preserve">reasons </w:t>
      </w:r>
      <w:r>
        <w:t>for that elevation of qualifications could well vary across parties and/or administrations (e.g., an administration who prioritizes diversity may deem especially strong qualifications (e.g., service as a USA) as a necessity for securing Senate confirmation, whereas an administration less concerned with diversity might only be willing to consider a nontraditional candidate if her qualifications are impeccable).</w:t>
      </w:r>
    </w:p>
  </w:footnote>
  <w:footnote w:id="5">
    <w:p w14:paraId="6D9A3860" w14:textId="628C691A" w:rsidR="006573A0" w:rsidRDefault="006573A0">
      <w:pPr>
        <w:pStyle w:val="FootnoteText"/>
      </w:pPr>
      <w:r>
        <w:rPr>
          <w:rStyle w:val="FootnoteReference"/>
        </w:rPr>
        <w:footnoteRef/>
      </w:r>
      <w:r>
        <w:t xml:space="preserve"> The basis for this statement is an analysis was performed in 2004 (</w:t>
      </w:r>
      <w:hyperlink r:id="rId1" w:history="1">
        <w:r w:rsidRPr="00A23F0F">
          <w:rPr>
            <w:rStyle w:val="Hyperlink"/>
          </w:rPr>
          <w:t>https://leiterreports.typepad.com/blog/2004/04/where_federal_j.html</w:t>
        </w:r>
      </w:hyperlink>
      <w:r>
        <w:t>), but a subsequent—broader—analysis in 2017 finds little difference (</w:t>
      </w:r>
      <w:hyperlink r:id="rId2" w:history="1">
        <w:r w:rsidRPr="00AF79C8">
          <w:rPr>
            <w:rStyle w:val="Hyperlink"/>
          </w:rPr>
          <w:t>https://empiricalscotus.com/2017/09/10/law-schools/</w:t>
        </w:r>
      </w:hyperlink>
      <w:r>
        <w:t xml:space="preserve">). The law schools with the most placements in 2017 on the federal courts are, in order: Harvard, Yale, Texas, Virginia, Michigan, Georgetown, Columbia, Florida, and Stanford. </w:t>
      </w:r>
    </w:p>
    <w:p w14:paraId="66BAD44C" w14:textId="77777777" w:rsidR="006573A0" w:rsidRDefault="006573A0">
      <w:pPr>
        <w:pStyle w:val="FootnoteText"/>
      </w:pPr>
    </w:p>
  </w:footnote>
  <w:footnote w:id="6">
    <w:p w14:paraId="3A09972E" w14:textId="3B570874" w:rsidR="006573A0" w:rsidRDefault="006573A0">
      <w:pPr>
        <w:pStyle w:val="FootnoteText"/>
      </w:pPr>
      <w:r>
        <w:rPr>
          <w:rStyle w:val="FootnoteReference"/>
        </w:rPr>
        <w:footnoteRef/>
      </w:r>
      <w:r>
        <w:t xml:space="preserve"> We create our dependent variables using the first position a USA takes after leaving office for several reasons. First, we are able to gather information on this position for almost all of the USAs in our data, something less true of subsequent positions. Second, the data we have on performance is only from when an individual was a USA and we are unable to generate comparable data for subsequent positions. Finally, most USAs in our data move on to only one subsequent position after serving as USA.</w:t>
      </w:r>
    </w:p>
    <w:p w14:paraId="14EC2F12" w14:textId="77777777" w:rsidR="006573A0" w:rsidRDefault="006573A0">
      <w:pPr>
        <w:pStyle w:val="FootnoteText"/>
      </w:pPr>
    </w:p>
  </w:footnote>
  <w:footnote w:id="7">
    <w:p w14:paraId="7432F1AB" w14:textId="77D1801D" w:rsidR="006573A0" w:rsidRDefault="006573A0">
      <w:pPr>
        <w:pStyle w:val="FootnoteText"/>
      </w:pPr>
      <w:r>
        <w:rPr>
          <w:rStyle w:val="FootnoteReference"/>
        </w:rPr>
        <w:footnoteRef/>
      </w:r>
      <w:r>
        <w:t xml:space="preserve"> The Senate confirmed all but a handful of these nominees and, though we opted to include those who were nominated but not confirmed in this category, our results are also robust to their exclusion. </w:t>
      </w:r>
    </w:p>
  </w:footnote>
  <w:footnote w:id="8">
    <w:p w14:paraId="737B9D6D" w14:textId="6409E7B2" w:rsidR="006573A0" w:rsidRDefault="006573A0">
      <w:pPr>
        <w:pStyle w:val="FootnoteText"/>
      </w:pPr>
      <w:r>
        <w:rPr>
          <w:rStyle w:val="FootnoteReference"/>
        </w:rPr>
        <w:footnoteRef/>
      </w:r>
      <w:r>
        <w:t xml:space="preserve"> The Department of Justice ceased reporting the number of Assistant USAs in an office after 2002. In years prior to 2002, when both the number of AUSAs and court-related workhours are reported, the correlation between the two measures is 0.86. </w:t>
      </w:r>
    </w:p>
    <w:p w14:paraId="1102EAEC" w14:textId="77777777" w:rsidR="006573A0" w:rsidRDefault="006573A0">
      <w:pPr>
        <w:pStyle w:val="FootnoteText"/>
      </w:pPr>
    </w:p>
  </w:footnote>
  <w:footnote w:id="9">
    <w:p w14:paraId="3BB87380" w14:textId="2F2F1D4B" w:rsidR="006573A0" w:rsidRDefault="006573A0">
      <w:pPr>
        <w:pStyle w:val="FootnoteText"/>
      </w:pPr>
      <w:r>
        <w:rPr>
          <w:rStyle w:val="FootnoteReference"/>
        </w:rPr>
        <w:footnoteRef/>
      </w:r>
      <w:r>
        <w:t xml:space="preserve"> These law schools are Harvard, Yale, Stanford, Chicago, Columbia, NYU, Penn, Virginia, Michigan, UC-Berkeley, Duke, Northwestern, Cornell, Georgetown, and Texas.  </w:t>
      </w:r>
    </w:p>
  </w:footnote>
  <w:footnote w:id="10">
    <w:p w14:paraId="6B11B284" w14:textId="324DBCBA" w:rsidR="006573A0" w:rsidRPr="009C724A" w:rsidRDefault="006573A0">
      <w:pPr>
        <w:pStyle w:val="FootnoteText"/>
        <w:rPr>
          <w:rStyle w:val="SubtleEmphasis"/>
        </w:rPr>
      </w:pPr>
      <w:r>
        <w:rPr>
          <w:rStyle w:val="FootnoteReference"/>
        </w:rPr>
        <w:footnoteRef/>
      </w:r>
      <w:r>
        <w:t xml:space="preserve"> Recall that five presidents are encompassed by the time period we observe: Reagan, H.W. Bush, Clinton, W. Bush, and Obama. The observations for Clinton and both Bushes are complete; those for Reagan and Obama are incomplete, because the measure we use to capture USA productivity—case filings—is unavailable to us prior to 1986 or after 2015.</w:t>
      </w:r>
    </w:p>
    <w:p w14:paraId="60142BC6" w14:textId="07C46668" w:rsidR="006573A0" w:rsidRDefault="006573A0">
      <w:pPr>
        <w:pStyle w:val="FootnoteText"/>
      </w:pPr>
    </w:p>
  </w:footnote>
  <w:footnote w:id="11">
    <w:p w14:paraId="714A3071" w14:textId="6867AA74" w:rsidR="006573A0" w:rsidRDefault="006573A0">
      <w:pPr>
        <w:pStyle w:val="FootnoteText"/>
      </w:pPr>
      <w:r>
        <w:rPr>
          <w:rStyle w:val="FootnoteReference"/>
        </w:rPr>
        <w:footnoteRef/>
      </w:r>
      <w:r>
        <w:t xml:space="preserve"> The effect of increasing case filings from the 10</w:t>
      </w:r>
      <w:r w:rsidRPr="00EF31E6">
        <w:rPr>
          <w:vertAlign w:val="superscript"/>
        </w:rPr>
        <w:t>th</w:t>
      </w:r>
      <w:r>
        <w:t xml:space="preserve"> to the 90</w:t>
      </w:r>
      <w:r w:rsidRPr="00EF31E6">
        <w:rPr>
          <w:vertAlign w:val="superscript"/>
        </w:rPr>
        <w:t>th</w:t>
      </w:r>
      <w:r>
        <w:t xml:space="preserve"> percentile approaches statistical significance in the model for judicial nominations (p = .056). Given the marginal statistical significance coupled with the small substantive effect, we do not wish to make too much of this finding. </w:t>
      </w:r>
    </w:p>
  </w:footnote>
  <w:footnote w:id="12">
    <w:p w14:paraId="2C0B65D4" w14:textId="1DF8D851" w:rsidR="006573A0" w:rsidRDefault="006573A0">
      <w:pPr>
        <w:pStyle w:val="FootnoteText"/>
      </w:pPr>
      <w:r>
        <w:rPr>
          <w:rStyle w:val="FootnoteReference"/>
        </w:rPr>
        <w:footnoteRef/>
      </w:r>
      <w:r>
        <w:t xml:space="preserve"> An anonymous reviewer noted findings that suggest women and minority lawyers are less likely to attend prestigious law schools than their white male counterparts and wondered whether that distinction also held among the USAs in our data. Interestingly, there is no significant difference between the percentage of white males (27%) and traditionally underrepresented groups (26%) in our data who attended top-15 law schools.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C641F"/>
    <w:multiLevelType w:val="hybridMultilevel"/>
    <w:tmpl w:val="18A82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C533A"/>
    <w:multiLevelType w:val="hybridMultilevel"/>
    <w:tmpl w:val="C0725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661B75"/>
    <w:multiLevelType w:val="hybridMultilevel"/>
    <w:tmpl w:val="DEE0D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C2"/>
    <w:rsid w:val="000049C8"/>
    <w:rsid w:val="00004FC4"/>
    <w:rsid w:val="00006426"/>
    <w:rsid w:val="0000642A"/>
    <w:rsid w:val="00010B96"/>
    <w:rsid w:val="00021DF4"/>
    <w:rsid w:val="00022086"/>
    <w:rsid w:val="0002520C"/>
    <w:rsid w:val="000258A8"/>
    <w:rsid w:val="00026979"/>
    <w:rsid w:val="000306DF"/>
    <w:rsid w:val="00034C3E"/>
    <w:rsid w:val="00035AC6"/>
    <w:rsid w:val="0003696C"/>
    <w:rsid w:val="00036AD7"/>
    <w:rsid w:val="00037630"/>
    <w:rsid w:val="0004072A"/>
    <w:rsid w:val="00042727"/>
    <w:rsid w:val="00043F59"/>
    <w:rsid w:val="000450AB"/>
    <w:rsid w:val="00046764"/>
    <w:rsid w:val="00047F06"/>
    <w:rsid w:val="000514AE"/>
    <w:rsid w:val="00052A11"/>
    <w:rsid w:val="000546EE"/>
    <w:rsid w:val="00055596"/>
    <w:rsid w:val="000556CA"/>
    <w:rsid w:val="00055737"/>
    <w:rsid w:val="00056289"/>
    <w:rsid w:val="00061A89"/>
    <w:rsid w:val="000649A7"/>
    <w:rsid w:val="0007111A"/>
    <w:rsid w:val="000726D7"/>
    <w:rsid w:val="000741D5"/>
    <w:rsid w:val="00075D69"/>
    <w:rsid w:val="00076B7B"/>
    <w:rsid w:val="00077EEB"/>
    <w:rsid w:val="0008152D"/>
    <w:rsid w:val="00081D67"/>
    <w:rsid w:val="000917F5"/>
    <w:rsid w:val="00092FEE"/>
    <w:rsid w:val="00095BF2"/>
    <w:rsid w:val="000962F8"/>
    <w:rsid w:val="000964B9"/>
    <w:rsid w:val="000A035A"/>
    <w:rsid w:val="000A203F"/>
    <w:rsid w:val="000A20E1"/>
    <w:rsid w:val="000B24A6"/>
    <w:rsid w:val="000C3459"/>
    <w:rsid w:val="000C3F7D"/>
    <w:rsid w:val="000C48E4"/>
    <w:rsid w:val="000C5425"/>
    <w:rsid w:val="000D004C"/>
    <w:rsid w:val="000D12B1"/>
    <w:rsid w:val="000D5933"/>
    <w:rsid w:val="000E03C9"/>
    <w:rsid w:val="000E1890"/>
    <w:rsid w:val="000E1BF0"/>
    <w:rsid w:val="000E38D3"/>
    <w:rsid w:val="000E49A2"/>
    <w:rsid w:val="000F3CB0"/>
    <w:rsid w:val="000F4D3F"/>
    <w:rsid w:val="000F59C3"/>
    <w:rsid w:val="00102A2B"/>
    <w:rsid w:val="001044A2"/>
    <w:rsid w:val="0010655A"/>
    <w:rsid w:val="0011271E"/>
    <w:rsid w:val="00115ED2"/>
    <w:rsid w:val="0011726D"/>
    <w:rsid w:val="00117C1B"/>
    <w:rsid w:val="00117CB9"/>
    <w:rsid w:val="00122F87"/>
    <w:rsid w:val="00124DC6"/>
    <w:rsid w:val="00126BD7"/>
    <w:rsid w:val="0013462B"/>
    <w:rsid w:val="00136E49"/>
    <w:rsid w:val="00142297"/>
    <w:rsid w:val="00145462"/>
    <w:rsid w:val="0015060A"/>
    <w:rsid w:val="00151303"/>
    <w:rsid w:val="00162CE6"/>
    <w:rsid w:val="00163004"/>
    <w:rsid w:val="00164253"/>
    <w:rsid w:val="00166F26"/>
    <w:rsid w:val="001706CF"/>
    <w:rsid w:val="00171061"/>
    <w:rsid w:val="00171240"/>
    <w:rsid w:val="00172FF9"/>
    <w:rsid w:val="00175ABB"/>
    <w:rsid w:val="00177BB4"/>
    <w:rsid w:val="0018269B"/>
    <w:rsid w:val="00184B75"/>
    <w:rsid w:val="001857DB"/>
    <w:rsid w:val="00187CC0"/>
    <w:rsid w:val="00192F67"/>
    <w:rsid w:val="001961D0"/>
    <w:rsid w:val="001A1761"/>
    <w:rsid w:val="001A3E75"/>
    <w:rsid w:val="001A4DD9"/>
    <w:rsid w:val="001B039B"/>
    <w:rsid w:val="001B33F9"/>
    <w:rsid w:val="001B3F68"/>
    <w:rsid w:val="001B5CC3"/>
    <w:rsid w:val="001B719B"/>
    <w:rsid w:val="001C135B"/>
    <w:rsid w:val="001C2A07"/>
    <w:rsid w:val="001D0DCD"/>
    <w:rsid w:val="001D6A17"/>
    <w:rsid w:val="001D7FA9"/>
    <w:rsid w:val="001E2F55"/>
    <w:rsid w:val="001E38A1"/>
    <w:rsid w:val="001E3D16"/>
    <w:rsid w:val="001E3D47"/>
    <w:rsid w:val="001F08C9"/>
    <w:rsid w:val="001F19F9"/>
    <w:rsid w:val="001F7830"/>
    <w:rsid w:val="00202503"/>
    <w:rsid w:val="0020343B"/>
    <w:rsid w:val="002068BC"/>
    <w:rsid w:val="00207558"/>
    <w:rsid w:val="002124C2"/>
    <w:rsid w:val="002154AE"/>
    <w:rsid w:val="00221D96"/>
    <w:rsid w:val="0022321D"/>
    <w:rsid w:val="00225339"/>
    <w:rsid w:val="00226C97"/>
    <w:rsid w:val="00227076"/>
    <w:rsid w:val="002331FD"/>
    <w:rsid w:val="00234792"/>
    <w:rsid w:val="00235E3B"/>
    <w:rsid w:val="00236549"/>
    <w:rsid w:val="00236A62"/>
    <w:rsid w:val="002443D5"/>
    <w:rsid w:val="00246286"/>
    <w:rsid w:val="00246FBB"/>
    <w:rsid w:val="0025006D"/>
    <w:rsid w:val="002535D8"/>
    <w:rsid w:val="002555A4"/>
    <w:rsid w:val="00261DCE"/>
    <w:rsid w:val="0026356B"/>
    <w:rsid w:val="0026434E"/>
    <w:rsid w:val="002700CD"/>
    <w:rsid w:val="00271D75"/>
    <w:rsid w:val="002736A8"/>
    <w:rsid w:val="00276F70"/>
    <w:rsid w:val="0027751C"/>
    <w:rsid w:val="00287466"/>
    <w:rsid w:val="0029024E"/>
    <w:rsid w:val="00290851"/>
    <w:rsid w:val="0029120C"/>
    <w:rsid w:val="00292489"/>
    <w:rsid w:val="0029701E"/>
    <w:rsid w:val="002A0F51"/>
    <w:rsid w:val="002A15E6"/>
    <w:rsid w:val="002A21A6"/>
    <w:rsid w:val="002A33F4"/>
    <w:rsid w:val="002B22C0"/>
    <w:rsid w:val="002B3003"/>
    <w:rsid w:val="002B3627"/>
    <w:rsid w:val="002B3C3E"/>
    <w:rsid w:val="002B4121"/>
    <w:rsid w:val="002B4E55"/>
    <w:rsid w:val="002B6B36"/>
    <w:rsid w:val="002B6F07"/>
    <w:rsid w:val="002C1337"/>
    <w:rsid w:val="002C1398"/>
    <w:rsid w:val="002D05FE"/>
    <w:rsid w:val="002D1C1E"/>
    <w:rsid w:val="002D298F"/>
    <w:rsid w:val="002D4933"/>
    <w:rsid w:val="002E1A45"/>
    <w:rsid w:val="002E1AE0"/>
    <w:rsid w:val="002E3743"/>
    <w:rsid w:val="002E7DD3"/>
    <w:rsid w:val="002E7F22"/>
    <w:rsid w:val="002F1DD4"/>
    <w:rsid w:val="002F4396"/>
    <w:rsid w:val="002F63C1"/>
    <w:rsid w:val="00300EF6"/>
    <w:rsid w:val="003043A9"/>
    <w:rsid w:val="00304624"/>
    <w:rsid w:val="0030513F"/>
    <w:rsid w:val="0030612C"/>
    <w:rsid w:val="00306A38"/>
    <w:rsid w:val="003078E3"/>
    <w:rsid w:val="00307F57"/>
    <w:rsid w:val="00310ED3"/>
    <w:rsid w:val="003129CE"/>
    <w:rsid w:val="00312E34"/>
    <w:rsid w:val="00316D1E"/>
    <w:rsid w:val="003205FF"/>
    <w:rsid w:val="00320D1E"/>
    <w:rsid w:val="00321701"/>
    <w:rsid w:val="0032263A"/>
    <w:rsid w:val="003242C0"/>
    <w:rsid w:val="00324BCC"/>
    <w:rsid w:val="00327624"/>
    <w:rsid w:val="0033496C"/>
    <w:rsid w:val="00335D61"/>
    <w:rsid w:val="003432B8"/>
    <w:rsid w:val="003452EA"/>
    <w:rsid w:val="003478DD"/>
    <w:rsid w:val="00354CF1"/>
    <w:rsid w:val="00355884"/>
    <w:rsid w:val="00356DD4"/>
    <w:rsid w:val="00363B09"/>
    <w:rsid w:val="00366284"/>
    <w:rsid w:val="00366324"/>
    <w:rsid w:val="003671F8"/>
    <w:rsid w:val="00367912"/>
    <w:rsid w:val="003728E8"/>
    <w:rsid w:val="00372E23"/>
    <w:rsid w:val="003769EB"/>
    <w:rsid w:val="003833FE"/>
    <w:rsid w:val="00387097"/>
    <w:rsid w:val="003877EB"/>
    <w:rsid w:val="00390106"/>
    <w:rsid w:val="00394774"/>
    <w:rsid w:val="00394CF3"/>
    <w:rsid w:val="0039523F"/>
    <w:rsid w:val="00396CE4"/>
    <w:rsid w:val="003A162E"/>
    <w:rsid w:val="003A1A33"/>
    <w:rsid w:val="003A334C"/>
    <w:rsid w:val="003A3CA9"/>
    <w:rsid w:val="003A4F42"/>
    <w:rsid w:val="003A6438"/>
    <w:rsid w:val="003A7665"/>
    <w:rsid w:val="003B09CA"/>
    <w:rsid w:val="003B4232"/>
    <w:rsid w:val="003B44D1"/>
    <w:rsid w:val="003B5736"/>
    <w:rsid w:val="003C22EA"/>
    <w:rsid w:val="003C3545"/>
    <w:rsid w:val="003C36FA"/>
    <w:rsid w:val="003C500E"/>
    <w:rsid w:val="003D67E9"/>
    <w:rsid w:val="003E05F6"/>
    <w:rsid w:val="003E1F49"/>
    <w:rsid w:val="003E58AC"/>
    <w:rsid w:val="003E60EB"/>
    <w:rsid w:val="003E720F"/>
    <w:rsid w:val="003E724B"/>
    <w:rsid w:val="003E752B"/>
    <w:rsid w:val="003F0922"/>
    <w:rsid w:val="00400D89"/>
    <w:rsid w:val="00401787"/>
    <w:rsid w:val="00402147"/>
    <w:rsid w:val="00405C5A"/>
    <w:rsid w:val="00406327"/>
    <w:rsid w:val="0040651A"/>
    <w:rsid w:val="00410E66"/>
    <w:rsid w:val="00411A37"/>
    <w:rsid w:val="00412953"/>
    <w:rsid w:val="00412FD4"/>
    <w:rsid w:val="0041309F"/>
    <w:rsid w:val="004174E6"/>
    <w:rsid w:val="00417B11"/>
    <w:rsid w:val="00420855"/>
    <w:rsid w:val="00421F1F"/>
    <w:rsid w:val="00427CA2"/>
    <w:rsid w:val="00435FD5"/>
    <w:rsid w:val="00441D17"/>
    <w:rsid w:val="00441E71"/>
    <w:rsid w:val="00442308"/>
    <w:rsid w:val="00442C14"/>
    <w:rsid w:val="00447EAB"/>
    <w:rsid w:val="004512BF"/>
    <w:rsid w:val="004518CC"/>
    <w:rsid w:val="004519EE"/>
    <w:rsid w:val="00454567"/>
    <w:rsid w:val="004552B3"/>
    <w:rsid w:val="00455E07"/>
    <w:rsid w:val="004572C1"/>
    <w:rsid w:val="00461619"/>
    <w:rsid w:val="004618AD"/>
    <w:rsid w:val="00463912"/>
    <w:rsid w:val="00466E1D"/>
    <w:rsid w:val="00467136"/>
    <w:rsid w:val="00467F28"/>
    <w:rsid w:val="004703D8"/>
    <w:rsid w:val="00473B3B"/>
    <w:rsid w:val="00474069"/>
    <w:rsid w:val="0048051C"/>
    <w:rsid w:val="00483858"/>
    <w:rsid w:val="00483A12"/>
    <w:rsid w:val="004844CD"/>
    <w:rsid w:val="004877FF"/>
    <w:rsid w:val="00490B75"/>
    <w:rsid w:val="004930D5"/>
    <w:rsid w:val="00493ED5"/>
    <w:rsid w:val="00494BE0"/>
    <w:rsid w:val="004A0A08"/>
    <w:rsid w:val="004A1CE5"/>
    <w:rsid w:val="004A1D64"/>
    <w:rsid w:val="004A2192"/>
    <w:rsid w:val="004A6063"/>
    <w:rsid w:val="004A6A4D"/>
    <w:rsid w:val="004A6AB4"/>
    <w:rsid w:val="004A79A7"/>
    <w:rsid w:val="004B3ABC"/>
    <w:rsid w:val="004C1837"/>
    <w:rsid w:val="004D1B73"/>
    <w:rsid w:val="004D69DE"/>
    <w:rsid w:val="004E0D2E"/>
    <w:rsid w:val="004E2AB3"/>
    <w:rsid w:val="004E5B40"/>
    <w:rsid w:val="004E6D99"/>
    <w:rsid w:val="004F2221"/>
    <w:rsid w:val="004F26BA"/>
    <w:rsid w:val="00500C71"/>
    <w:rsid w:val="00501C97"/>
    <w:rsid w:val="00503FED"/>
    <w:rsid w:val="00505D1B"/>
    <w:rsid w:val="00512D88"/>
    <w:rsid w:val="00513052"/>
    <w:rsid w:val="00514B9B"/>
    <w:rsid w:val="00516241"/>
    <w:rsid w:val="00517761"/>
    <w:rsid w:val="00523D65"/>
    <w:rsid w:val="00524700"/>
    <w:rsid w:val="005263F3"/>
    <w:rsid w:val="00526536"/>
    <w:rsid w:val="005318BE"/>
    <w:rsid w:val="00531B0C"/>
    <w:rsid w:val="00534DE2"/>
    <w:rsid w:val="00534FF1"/>
    <w:rsid w:val="00540BB0"/>
    <w:rsid w:val="005418E6"/>
    <w:rsid w:val="00543CDE"/>
    <w:rsid w:val="00546E90"/>
    <w:rsid w:val="00550450"/>
    <w:rsid w:val="005510F6"/>
    <w:rsid w:val="0055609A"/>
    <w:rsid w:val="00556356"/>
    <w:rsid w:val="005573D7"/>
    <w:rsid w:val="00557880"/>
    <w:rsid w:val="00570C3E"/>
    <w:rsid w:val="00572106"/>
    <w:rsid w:val="0057295B"/>
    <w:rsid w:val="00573537"/>
    <w:rsid w:val="00573E80"/>
    <w:rsid w:val="005761B8"/>
    <w:rsid w:val="00576B4C"/>
    <w:rsid w:val="0058357B"/>
    <w:rsid w:val="0058433E"/>
    <w:rsid w:val="005850C3"/>
    <w:rsid w:val="00585A49"/>
    <w:rsid w:val="005902CC"/>
    <w:rsid w:val="00591AEA"/>
    <w:rsid w:val="00591B0E"/>
    <w:rsid w:val="00593386"/>
    <w:rsid w:val="00596C4B"/>
    <w:rsid w:val="00597156"/>
    <w:rsid w:val="005A334D"/>
    <w:rsid w:val="005A343A"/>
    <w:rsid w:val="005A5CF7"/>
    <w:rsid w:val="005A6F7F"/>
    <w:rsid w:val="005A7DAC"/>
    <w:rsid w:val="005B655E"/>
    <w:rsid w:val="005B68F7"/>
    <w:rsid w:val="005C1077"/>
    <w:rsid w:val="005C1F00"/>
    <w:rsid w:val="005C4E56"/>
    <w:rsid w:val="005D023E"/>
    <w:rsid w:val="005D08F4"/>
    <w:rsid w:val="005D225A"/>
    <w:rsid w:val="005E390F"/>
    <w:rsid w:val="005F3774"/>
    <w:rsid w:val="005F52CA"/>
    <w:rsid w:val="00601C85"/>
    <w:rsid w:val="00603A34"/>
    <w:rsid w:val="006040F6"/>
    <w:rsid w:val="006067CC"/>
    <w:rsid w:val="006068A5"/>
    <w:rsid w:val="00606E51"/>
    <w:rsid w:val="00607B9C"/>
    <w:rsid w:val="006124C2"/>
    <w:rsid w:val="00612702"/>
    <w:rsid w:val="00616AB5"/>
    <w:rsid w:val="00621F39"/>
    <w:rsid w:val="0062386E"/>
    <w:rsid w:val="00627975"/>
    <w:rsid w:val="00634345"/>
    <w:rsid w:val="00636F89"/>
    <w:rsid w:val="00637850"/>
    <w:rsid w:val="00642817"/>
    <w:rsid w:val="00646D70"/>
    <w:rsid w:val="00647E97"/>
    <w:rsid w:val="00651D4F"/>
    <w:rsid w:val="006531F7"/>
    <w:rsid w:val="006532CA"/>
    <w:rsid w:val="006545CE"/>
    <w:rsid w:val="00654EA8"/>
    <w:rsid w:val="00656A71"/>
    <w:rsid w:val="006573A0"/>
    <w:rsid w:val="00661BDB"/>
    <w:rsid w:val="006665A0"/>
    <w:rsid w:val="0066745D"/>
    <w:rsid w:val="00667803"/>
    <w:rsid w:val="00667979"/>
    <w:rsid w:val="006717F5"/>
    <w:rsid w:val="00672841"/>
    <w:rsid w:val="0067389B"/>
    <w:rsid w:val="006761D1"/>
    <w:rsid w:val="00677F92"/>
    <w:rsid w:val="00681DBC"/>
    <w:rsid w:val="006822FA"/>
    <w:rsid w:val="00684105"/>
    <w:rsid w:val="0069043C"/>
    <w:rsid w:val="00691230"/>
    <w:rsid w:val="0069578A"/>
    <w:rsid w:val="006A0BF1"/>
    <w:rsid w:val="006A403B"/>
    <w:rsid w:val="006A5661"/>
    <w:rsid w:val="006B1B42"/>
    <w:rsid w:val="006B7E49"/>
    <w:rsid w:val="006C28DB"/>
    <w:rsid w:val="006C2FC9"/>
    <w:rsid w:val="006C4601"/>
    <w:rsid w:val="006C66E7"/>
    <w:rsid w:val="006D0AD8"/>
    <w:rsid w:val="006D1D79"/>
    <w:rsid w:val="006D2987"/>
    <w:rsid w:val="006D3D22"/>
    <w:rsid w:val="006E08F3"/>
    <w:rsid w:val="006E0BD6"/>
    <w:rsid w:val="006E2C14"/>
    <w:rsid w:val="006E58B7"/>
    <w:rsid w:val="006E6BF2"/>
    <w:rsid w:val="006F0579"/>
    <w:rsid w:val="006F087C"/>
    <w:rsid w:val="006F5C59"/>
    <w:rsid w:val="007014BE"/>
    <w:rsid w:val="00702156"/>
    <w:rsid w:val="007027D1"/>
    <w:rsid w:val="0070467E"/>
    <w:rsid w:val="00704D2F"/>
    <w:rsid w:val="00705D54"/>
    <w:rsid w:val="00707DCD"/>
    <w:rsid w:val="00707E68"/>
    <w:rsid w:val="0071321C"/>
    <w:rsid w:val="00714524"/>
    <w:rsid w:val="00726ECD"/>
    <w:rsid w:val="0073192D"/>
    <w:rsid w:val="007329AB"/>
    <w:rsid w:val="00735E22"/>
    <w:rsid w:val="00737327"/>
    <w:rsid w:val="00737DE8"/>
    <w:rsid w:val="00737FBE"/>
    <w:rsid w:val="007431EA"/>
    <w:rsid w:val="00743355"/>
    <w:rsid w:val="00754366"/>
    <w:rsid w:val="00756336"/>
    <w:rsid w:val="00756903"/>
    <w:rsid w:val="00764C0A"/>
    <w:rsid w:val="00767958"/>
    <w:rsid w:val="0077150E"/>
    <w:rsid w:val="007736CB"/>
    <w:rsid w:val="00774644"/>
    <w:rsid w:val="0077702F"/>
    <w:rsid w:val="00783013"/>
    <w:rsid w:val="00786CA7"/>
    <w:rsid w:val="00786DB4"/>
    <w:rsid w:val="0079063D"/>
    <w:rsid w:val="00790739"/>
    <w:rsid w:val="007927E9"/>
    <w:rsid w:val="0079354E"/>
    <w:rsid w:val="007970B7"/>
    <w:rsid w:val="007A01FD"/>
    <w:rsid w:val="007A0F4C"/>
    <w:rsid w:val="007A0FE3"/>
    <w:rsid w:val="007A2554"/>
    <w:rsid w:val="007A3065"/>
    <w:rsid w:val="007A4D51"/>
    <w:rsid w:val="007A5BB7"/>
    <w:rsid w:val="007A74EA"/>
    <w:rsid w:val="007A7C36"/>
    <w:rsid w:val="007B6163"/>
    <w:rsid w:val="007C2AF1"/>
    <w:rsid w:val="007C6295"/>
    <w:rsid w:val="007C7674"/>
    <w:rsid w:val="007C7EC3"/>
    <w:rsid w:val="007D01F7"/>
    <w:rsid w:val="007D119F"/>
    <w:rsid w:val="007D7A53"/>
    <w:rsid w:val="007E0967"/>
    <w:rsid w:val="007E1D50"/>
    <w:rsid w:val="007F09CE"/>
    <w:rsid w:val="007F2057"/>
    <w:rsid w:val="007F6451"/>
    <w:rsid w:val="0080149E"/>
    <w:rsid w:val="00803080"/>
    <w:rsid w:val="00804A09"/>
    <w:rsid w:val="008054ED"/>
    <w:rsid w:val="008075AA"/>
    <w:rsid w:val="00807A4D"/>
    <w:rsid w:val="00810EF0"/>
    <w:rsid w:val="00811B77"/>
    <w:rsid w:val="00812320"/>
    <w:rsid w:val="00823C22"/>
    <w:rsid w:val="0082762D"/>
    <w:rsid w:val="008301D3"/>
    <w:rsid w:val="0083121D"/>
    <w:rsid w:val="0083363A"/>
    <w:rsid w:val="00834172"/>
    <w:rsid w:val="00834455"/>
    <w:rsid w:val="0083728B"/>
    <w:rsid w:val="00840711"/>
    <w:rsid w:val="00851BE2"/>
    <w:rsid w:val="00854528"/>
    <w:rsid w:val="0085524E"/>
    <w:rsid w:val="008618AD"/>
    <w:rsid w:val="00861DE9"/>
    <w:rsid w:val="00861E14"/>
    <w:rsid w:val="00863EA9"/>
    <w:rsid w:val="00864E20"/>
    <w:rsid w:val="00870F5A"/>
    <w:rsid w:val="0087167D"/>
    <w:rsid w:val="00873A01"/>
    <w:rsid w:val="008747A0"/>
    <w:rsid w:val="0087689F"/>
    <w:rsid w:val="00880E62"/>
    <w:rsid w:val="00881D3C"/>
    <w:rsid w:val="00883069"/>
    <w:rsid w:val="0088355D"/>
    <w:rsid w:val="00884E02"/>
    <w:rsid w:val="00887598"/>
    <w:rsid w:val="00890560"/>
    <w:rsid w:val="008909C2"/>
    <w:rsid w:val="00890EF9"/>
    <w:rsid w:val="008914A3"/>
    <w:rsid w:val="00894678"/>
    <w:rsid w:val="0089796A"/>
    <w:rsid w:val="008A5002"/>
    <w:rsid w:val="008B0311"/>
    <w:rsid w:val="008B092D"/>
    <w:rsid w:val="008B1672"/>
    <w:rsid w:val="008B38FA"/>
    <w:rsid w:val="008B438C"/>
    <w:rsid w:val="008B4CAA"/>
    <w:rsid w:val="008B5C7F"/>
    <w:rsid w:val="008C57AD"/>
    <w:rsid w:val="008C6504"/>
    <w:rsid w:val="008C6AD5"/>
    <w:rsid w:val="008C6C12"/>
    <w:rsid w:val="008C6E3C"/>
    <w:rsid w:val="008C7C89"/>
    <w:rsid w:val="008D09D0"/>
    <w:rsid w:val="008D289E"/>
    <w:rsid w:val="008D5781"/>
    <w:rsid w:val="008D73F6"/>
    <w:rsid w:val="008D7511"/>
    <w:rsid w:val="008E1BFD"/>
    <w:rsid w:val="008E2044"/>
    <w:rsid w:val="008E5088"/>
    <w:rsid w:val="008F1892"/>
    <w:rsid w:val="008F19E1"/>
    <w:rsid w:val="008F410F"/>
    <w:rsid w:val="00901630"/>
    <w:rsid w:val="0090262B"/>
    <w:rsid w:val="00903343"/>
    <w:rsid w:val="00903A2F"/>
    <w:rsid w:val="00904AAA"/>
    <w:rsid w:val="00904E85"/>
    <w:rsid w:val="009052DF"/>
    <w:rsid w:val="00906367"/>
    <w:rsid w:val="00907C2E"/>
    <w:rsid w:val="0091244E"/>
    <w:rsid w:val="0091476A"/>
    <w:rsid w:val="009153FD"/>
    <w:rsid w:val="0091554F"/>
    <w:rsid w:val="00922341"/>
    <w:rsid w:val="009229DF"/>
    <w:rsid w:val="00923585"/>
    <w:rsid w:val="009238F3"/>
    <w:rsid w:val="00924237"/>
    <w:rsid w:val="00924EF1"/>
    <w:rsid w:val="00925452"/>
    <w:rsid w:val="00925D4A"/>
    <w:rsid w:val="00926861"/>
    <w:rsid w:val="00926C85"/>
    <w:rsid w:val="009306B2"/>
    <w:rsid w:val="00932AA1"/>
    <w:rsid w:val="00933280"/>
    <w:rsid w:val="0094025D"/>
    <w:rsid w:val="009408A2"/>
    <w:rsid w:val="009413DF"/>
    <w:rsid w:val="00943AAF"/>
    <w:rsid w:val="00944D21"/>
    <w:rsid w:val="00947DAE"/>
    <w:rsid w:val="00953BF4"/>
    <w:rsid w:val="0095453E"/>
    <w:rsid w:val="00961D88"/>
    <w:rsid w:val="0096396B"/>
    <w:rsid w:val="0096569E"/>
    <w:rsid w:val="00965A40"/>
    <w:rsid w:val="009661E1"/>
    <w:rsid w:val="00967D5B"/>
    <w:rsid w:val="009718B3"/>
    <w:rsid w:val="0097309A"/>
    <w:rsid w:val="009748A4"/>
    <w:rsid w:val="0097510B"/>
    <w:rsid w:val="0097606D"/>
    <w:rsid w:val="00981125"/>
    <w:rsid w:val="00981F4A"/>
    <w:rsid w:val="00987478"/>
    <w:rsid w:val="00993E51"/>
    <w:rsid w:val="00993E98"/>
    <w:rsid w:val="0099575A"/>
    <w:rsid w:val="00996AAB"/>
    <w:rsid w:val="009A1CCB"/>
    <w:rsid w:val="009A2B05"/>
    <w:rsid w:val="009A3D46"/>
    <w:rsid w:val="009A6CF0"/>
    <w:rsid w:val="009B00A2"/>
    <w:rsid w:val="009B0236"/>
    <w:rsid w:val="009B1C41"/>
    <w:rsid w:val="009B5949"/>
    <w:rsid w:val="009B7604"/>
    <w:rsid w:val="009C3A6E"/>
    <w:rsid w:val="009C6CD6"/>
    <w:rsid w:val="009C724A"/>
    <w:rsid w:val="009D0DFE"/>
    <w:rsid w:val="009D136A"/>
    <w:rsid w:val="009D1D9D"/>
    <w:rsid w:val="009E4BBD"/>
    <w:rsid w:val="009E5FEC"/>
    <w:rsid w:val="009F21A7"/>
    <w:rsid w:val="009F2754"/>
    <w:rsid w:val="009F31DA"/>
    <w:rsid w:val="009F3E29"/>
    <w:rsid w:val="009F3ED6"/>
    <w:rsid w:val="009F44DC"/>
    <w:rsid w:val="009F6BB7"/>
    <w:rsid w:val="009F772F"/>
    <w:rsid w:val="00A02A9A"/>
    <w:rsid w:val="00A031F0"/>
    <w:rsid w:val="00A069E2"/>
    <w:rsid w:val="00A06CA1"/>
    <w:rsid w:val="00A10A80"/>
    <w:rsid w:val="00A13B62"/>
    <w:rsid w:val="00A15983"/>
    <w:rsid w:val="00A15BC9"/>
    <w:rsid w:val="00A15E3A"/>
    <w:rsid w:val="00A178A8"/>
    <w:rsid w:val="00A21C57"/>
    <w:rsid w:val="00A23D6C"/>
    <w:rsid w:val="00A2596E"/>
    <w:rsid w:val="00A27C4C"/>
    <w:rsid w:val="00A30073"/>
    <w:rsid w:val="00A3391F"/>
    <w:rsid w:val="00A339F7"/>
    <w:rsid w:val="00A35215"/>
    <w:rsid w:val="00A37657"/>
    <w:rsid w:val="00A43592"/>
    <w:rsid w:val="00A43CD7"/>
    <w:rsid w:val="00A45FF5"/>
    <w:rsid w:val="00A50A11"/>
    <w:rsid w:val="00A52514"/>
    <w:rsid w:val="00A55218"/>
    <w:rsid w:val="00A55B62"/>
    <w:rsid w:val="00A61391"/>
    <w:rsid w:val="00A71028"/>
    <w:rsid w:val="00A71D59"/>
    <w:rsid w:val="00A751B6"/>
    <w:rsid w:val="00A75385"/>
    <w:rsid w:val="00A769F3"/>
    <w:rsid w:val="00A80496"/>
    <w:rsid w:val="00A81FF6"/>
    <w:rsid w:val="00A907FC"/>
    <w:rsid w:val="00A9316F"/>
    <w:rsid w:val="00A975DF"/>
    <w:rsid w:val="00AA281F"/>
    <w:rsid w:val="00AA4780"/>
    <w:rsid w:val="00AB5B5D"/>
    <w:rsid w:val="00AB7F1E"/>
    <w:rsid w:val="00AC0C1A"/>
    <w:rsid w:val="00AC53C6"/>
    <w:rsid w:val="00AC5997"/>
    <w:rsid w:val="00AC7497"/>
    <w:rsid w:val="00AD0889"/>
    <w:rsid w:val="00AD15C7"/>
    <w:rsid w:val="00AD4675"/>
    <w:rsid w:val="00AD52A3"/>
    <w:rsid w:val="00AD6F19"/>
    <w:rsid w:val="00AD7304"/>
    <w:rsid w:val="00AE151E"/>
    <w:rsid w:val="00AE176B"/>
    <w:rsid w:val="00AE316C"/>
    <w:rsid w:val="00AE6705"/>
    <w:rsid w:val="00AE73F8"/>
    <w:rsid w:val="00AF2A04"/>
    <w:rsid w:val="00AF6CE9"/>
    <w:rsid w:val="00AF6F0A"/>
    <w:rsid w:val="00AF7578"/>
    <w:rsid w:val="00B00288"/>
    <w:rsid w:val="00B07673"/>
    <w:rsid w:val="00B12CD2"/>
    <w:rsid w:val="00B13F71"/>
    <w:rsid w:val="00B14170"/>
    <w:rsid w:val="00B17A7C"/>
    <w:rsid w:val="00B20FEE"/>
    <w:rsid w:val="00B21CAC"/>
    <w:rsid w:val="00B248B5"/>
    <w:rsid w:val="00B307E1"/>
    <w:rsid w:val="00B328B1"/>
    <w:rsid w:val="00B34F2C"/>
    <w:rsid w:val="00B3566E"/>
    <w:rsid w:val="00B373E2"/>
    <w:rsid w:val="00B401C4"/>
    <w:rsid w:val="00B40AE2"/>
    <w:rsid w:val="00B40FF2"/>
    <w:rsid w:val="00B4101B"/>
    <w:rsid w:val="00B41811"/>
    <w:rsid w:val="00B42F54"/>
    <w:rsid w:val="00B43075"/>
    <w:rsid w:val="00B45837"/>
    <w:rsid w:val="00B46192"/>
    <w:rsid w:val="00B57D14"/>
    <w:rsid w:val="00B57E0B"/>
    <w:rsid w:val="00B67155"/>
    <w:rsid w:val="00B70F87"/>
    <w:rsid w:val="00B712EC"/>
    <w:rsid w:val="00B71618"/>
    <w:rsid w:val="00B75D01"/>
    <w:rsid w:val="00B76B28"/>
    <w:rsid w:val="00B802E1"/>
    <w:rsid w:val="00B816D5"/>
    <w:rsid w:val="00B82C96"/>
    <w:rsid w:val="00B84552"/>
    <w:rsid w:val="00B8585C"/>
    <w:rsid w:val="00B955A9"/>
    <w:rsid w:val="00B965D6"/>
    <w:rsid w:val="00B977A9"/>
    <w:rsid w:val="00BA2D9D"/>
    <w:rsid w:val="00BA7339"/>
    <w:rsid w:val="00BB0B14"/>
    <w:rsid w:val="00BB21F5"/>
    <w:rsid w:val="00BB38A6"/>
    <w:rsid w:val="00BB58F4"/>
    <w:rsid w:val="00BC272A"/>
    <w:rsid w:val="00BC3AD6"/>
    <w:rsid w:val="00BC5DCE"/>
    <w:rsid w:val="00BC5F23"/>
    <w:rsid w:val="00BC6D38"/>
    <w:rsid w:val="00BD1241"/>
    <w:rsid w:val="00BD1381"/>
    <w:rsid w:val="00BD2405"/>
    <w:rsid w:val="00BD61C0"/>
    <w:rsid w:val="00BE263C"/>
    <w:rsid w:val="00BE3093"/>
    <w:rsid w:val="00BE3B13"/>
    <w:rsid w:val="00BE4093"/>
    <w:rsid w:val="00BE5BFD"/>
    <w:rsid w:val="00BE69AE"/>
    <w:rsid w:val="00BE7EB2"/>
    <w:rsid w:val="00BF12E8"/>
    <w:rsid w:val="00BF1655"/>
    <w:rsid w:val="00BF1C69"/>
    <w:rsid w:val="00BF214D"/>
    <w:rsid w:val="00BF2FCC"/>
    <w:rsid w:val="00BF508F"/>
    <w:rsid w:val="00BF6820"/>
    <w:rsid w:val="00C0065C"/>
    <w:rsid w:val="00C017A9"/>
    <w:rsid w:val="00C050BC"/>
    <w:rsid w:val="00C07B81"/>
    <w:rsid w:val="00C12738"/>
    <w:rsid w:val="00C1312C"/>
    <w:rsid w:val="00C153F2"/>
    <w:rsid w:val="00C21454"/>
    <w:rsid w:val="00C2200E"/>
    <w:rsid w:val="00C22629"/>
    <w:rsid w:val="00C22F95"/>
    <w:rsid w:val="00C23A61"/>
    <w:rsid w:val="00C23B11"/>
    <w:rsid w:val="00C278A1"/>
    <w:rsid w:val="00C316B7"/>
    <w:rsid w:val="00C31BA2"/>
    <w:rsid w:val="00C41F6D"/>
    <w:rsid w:val="00C42E8A"/>
    <w:rsid w:val="00C43101"/>
    <w:rsid w:val="00C43B96"/>
    <w:rsid w:val="00C467AA"/>
    <w:rsid w:val="00C57CF3"/>
    <w:rsid w:val="00C60197"/>
    <w:rsid w:val="00C6674C"/>
    <w:rsid w:val="00C675BC"/>
    <w:rsid w:val="00C70E5E"/>
    <w:rsid w:val="00C722A4"/>
    <w:rsid w:val="00C758BC"/>
    <w:rsid w:val="00C77D5F"/>
    <w:rsid w:val="00C80213"/>
    <w:rsid w:val="00C81401"/>
    <w:rsid w:val="00C81E02"/>
    <w:rsid w:val="00C822D8"/>
    <w:rsid w:val="00C82465"/>
    <w:rsid w:val="00C82DFF"/>
    <w:rsid w:val="00C83103"/>
    <w:rsid w:val="00C923AB"/>
    <w:rsid w:val="00C92F29"/>
    <w:rsid w:val="00C94AD5"/>
    <w:rsid w:val="00CA09CE"/>
    <w:rsid w:val="00CA2F8F"/>
    <w:rsid w:val="00CA499A"/>
    <w:rsid w:val="00CA5A0A"/>
    <w:rsid w:val="00CA7703"/>
    <w:rsid w:val="00CB1199"/>
    <w:rsid w:val="00CB2582"/>
    <w:rsid w:val="00CB60C9"/>
    <w:rsid w:val="00CB7922"/>
    <w:rsid w:val="00CC0F8F"/>
    <w:rsid w:val="00CC1489"/>
    <w:rsid w:val="00CC1874"/>
    <w:rsid w:val="00CC2CF5"/>
    <w:rsid w:val="00CC364D"/>
    <w:rsid w:val="00CC44B4"/>
    <w:rsid w:val="00CC63BF"/>
    <w:rsid w:val="00CC6B1E"/>
    <w:rsid w:val="00CC7981"/>
    <w:rsid w:val="00CD11CB"/>
    <w:rsid w:val="00CD3DD3"/>
    <w:rsid w:val="00CD4628"/>
    <w:rsid w:val="00CD7138"/>
    <w:rsid w:val="00CF168D"/>
    <w:rsid w:val="00CF243D"/>
    <w:rsid w:val="00CF2898"/>
    <w:rsid w:val="00CF2EAA"/>
    <w:rsid w:val="00CF3E82"/>
    <w:rsid w:val="00CF4D44"/>
    <w:rsid w:val="00CF6C46"/>
    <w:rsid w:val="00D0146B"/>
    <w:rsid w:val="00D02F70"/>
    <w:rsid w:val="00D051F7"/>
    <w:rsid w:val="00D06FF3"/>
    <w:rsid w:val="00D071E2"/>
    <w:rsid w:val="00D107C5"/>
    <w:rsid w:val="00D14795"/>
    <w:rsid w:val="00D157CD"/>
    <w:rsid w:val="00D26B6A"/>
    <w:rsid w:val="00D326C8"/>
    <w:rsid w:val="00D32AB6"/>
    <w:rsid w:val="00D32BBB"/>
    <w:rsid w:val="00D34AD5"/>
    <w:rsid w:val="00D40229"/>
    <w:rsid w:val="00D42B14"/>
    <w:rsid w:val="00D43272"/>
    <w:rsid w:val="00D43BFF"/>
    <w:rsid w:val="00D4509F"/>
    <w:rsid w:val="00D45CE0"/>
    <w:rsid w:val="00D46ADF"/>
    <w:rsid w:val="00D47FFD"/>
    <w:rsid w:val="00D51618"/>
    <w:rsid w:val="00D556B7"/>
    <w:rsid w:val="00D57062"/>
    <w:rsid w:val="00D602A2"/>
    <w:rsid w:val="00D62172"/>
    <w:rsid w:val="00D66B72"/>
    <w:rsid w:val="00D70268"/>
    <w:rsid w:val="00D7048E"/>
    <w:rsid w:val="00D8153F"/>
    <w:rsid w:val="00D8532E"/>
    <w:rsid w:val="00D90970"/>
    <w:rsid w:val="00D93982"/>
    <w:rsid w:val="00D93C72"/>
    <w:rsid w:val="00D941D8"/>
    <w:rsid w:val="00DA1CF3"/>
    <w:rsid w:val="00DA22D7"/>
    <w:rsid w:val="00DB2BB9"/>
    <w:rsid w:val="00DB2BBC"/>
    <w:rsid w:val="00DB7547"/>
    <w:rsid w:val="00DB79C7"/>
    <w:rsid w:val="00DC200B"/>
    <w:rsid w:val="00DC6BDB"/>
    <w:rsid w:val="00DD1375"/>
    <w:rsid w:val="00DD1C79"/>
    <w:rsid w:val="00DD272E"/>
    <w:rsid w:val="00DD37F0"/>
    <w:rsid w:val="00DD500A"/>
    <w:rsid w:val="00DD7E80"/>
    <w:rsid w:val="00DE0BE3"/>
    <w:rsid w:val="00DE4386"/>
    <w:rsid w:val="00DE67E7"/>
    <w:rsid w:val="00DF4264"/>
    <w:rsid w:val="00E002FC"/>
    <w:rsid w:val="00E029C2"/>
    <w:rsid w:val="00E039CD"/>
    <w:rsid w:val="00E04F05"/>
    <w:rsid w:val="00E05F90"/>
    <w:rsid w:val="00E11A67"/>
    <w:rsid w:val="00E15173"/>
    <w:rsid w:val="00E17517"/>
    <w:rsid w:val="00E1776F"/>
    <w:rsid w:val="00E254D1"/>
    <w:rsid w:val="00E2600D"/>
    <w:rsid w:val="00E26612"/>
    <w:rsid w:val="00E27774"/>
    <w:rsid w:val="00E3181C"/>
    <w:rsid w:val="00E318EF"/>
    <w:rsid w:val="00E33815"/>
    <w:rsid w:val="00E3659C"/>
    <w:rsid w:val="00E372E1"/>
    <w:rsid w:val="00E4448C"/>
    <w:rsid w:val="00E46406"/>
    <w:rsid w:val="00E46DC2"/>
    <w:rsid w:val="00E52623"/>
    <w:rsid w:val="00E539B7"/>
    <w:rsid w:val="00E54CFA"/>
    <w:rsid w:val="00E57D6D"/>
    <w:rsid w:val="00E62A94"/>
    <w:rsid w:val="00E63756"/>
    <w:rsid w:val="00E63CF2"/>
    <w:rsid w:val="00E71476"/>
    <w:rsid w:val="00E82FE9"/>
    <w:rsid w:val="00E83128"/>
    <w:rsid w:val="00E92486"/>
    <w:rsid w:val="00E937B1"/>
    <w:rsid w:val="00E963DB"/>
    <w:rsid w:val="00E975AA"/>
    <w:rsid w:val="00E97A30"/>
    <w:rsid w:val="00EA47F5"/>
    <w:rsid w:val="00EA629A"/>
    <w:rsid w:val="00EA74FD"/>
    <w:rsid w:val="00EB1A93"/>
    <w:rsid w:val="00EB6723"/>
    <w:rsid w:val="00EC1F7E"/>
    <w:rsid w:val="00EC37CE"/>
    <w:rsid w:val="00EC6FCF"/>
    <w:rsid w:val="00EC70BA"/>
    <w:rsid w:val="00EC73EF"/>
    <w:rsid w:val="00ED0D5A"/>
    <w:rsid w:val="00ED19A9"/>
    <w:rsid w:val="00ED267F"/>
    <w:rsid w:val="00ED2FCE"/>
    <w:rsid w:val="00ED33B4"/>
    <w:rsid w:val="00EE022E"/>
    <w:rsid w:val="00EE0A2B"/>
    <w:rsid w:val="00EE0A89"/>
    <w:rsid w:val="00EE2824"/>
    <w:rsid w:val="00EE58E6"/>
    <w:rsid w:val="00EE5F3C"/>
    <w:rsid w:val="00EE6D85"/>
    <w:rsid w:val="00EE79EA"/>
    <w:rsid w:val="00EF235F"/>
    <w:rsid w:val="00EF26CC"/>
    <w:rsid w:val="00EF31E6"/>
    <w:rsid w:val="00EF4DBE"/>
    <w:rsid w:val="00F04082"/>
    <w:rsid w:val="00F105B1"/>
    <w:rsid w:val="00F1413F"/>
    <w:rsid w:val="00F15794"/>
    <w:rsid w:val="00F15D0B"/>
    <w:rsid w:val="00F2528D"/>
    <w:rsid w:val="00F259FB"/>
    <w:rsid w:val="00F268C0"/>
    <w:rsid w:val="00F274E7"/>
    <w:rsid w:val="00F31CA7"/>
    <w:rsid w:val="00F33C58"/>
    <w:rsid w:val="00F342E5"/>
    <w:rsid w:val="00F3482E"/>
    <w:rsid w:val="00F36360"/>
    <w:rsid w:val="00F37C8D"/>
    <w:rsid w:val="00F41544"/>
    <w:rsid w:val="00F43F11"/>
    <w:rsid w:val="00F50DF2"/>
    <w:rsid w:val="00F51292"/>
    <w:rsid w:val="00F54668"/>
    <w:rsid w:val="00F6166A"/>
    <w:rsid w:val="00F64434"/>
    <w:rsid w:val="00F72B3D"/>
    <w:rsid w:val="00F72F4E"/>
    <w:rsid w:val="00F77470"/>
    <w:rsid w:val="00F80304"/>
    <w:rsid w:val="00F803C5"/>
    <w:rsid w:val="00F80C01"/>
    <w:rsid w:val="00F81C62"/>
    <w:rsid w:val="00F84DD8"/>
    <w:rsid w:val="00F84F33"/>
    <w:rsid w:val="00F85D80"/>
    <w:rsid w:val="00F91083"/>
    <w:rsid w:val="00F91A23"/>
    <w:rsid w:val="00FA0D3B"/>
    <w:rsid w:val="00FA32D8"/>
    <w:rsid w:val="00FA3AD1"/>
    <w:rsid w:val="00FA5681"/>
    <w:rsid w:val="00FA6FEF"/>
    <w:rsid w:val="00FA7720"/>
    <w:rsid w:val="00FB2B8B"/>
    <w:rsid w:val="00FB4E03"/>
    <w:rsid w:val="00FB6F5B"/>
    <w:rsid w:val="00FC3805"/>
    <w:rsid w:val="00FC41BF"/>
    <w:rsid w:val="00FC4D7D"/>
    <w:rsid w:val="00FC7075"/>
    <w:rsid w:val="00FD075B"/>
    <w:rsid w:val="00FD15D2"/>
    <w:rsid w:val="00FD17B3"/>
    <w:rsid w:val="00FD5BB6"/>
    <w:rsid w:val="00FD5DBB"/>
    <w:rsid w:val="00FD7E03"/>
    <w:rsid w:val="00FE1EEA"/>
    <w:rsid w:val="00FE4AE5"/>
    <w:rsid w:val="00FE65D0"/>
    <w:rsid w:val="00FF0F40"/>
    <w:rsid w:val="00FF3393"/>
    <w:rsid w:val="00FF4F3E"/>
    <w:rsid w:val="00FF631C"/>
    <w:rsid w:val="00FF6998"/>
    <w:rsid w:val="00FF70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A5C07"/>
  <w15:docId w15:val="{2B49046A-05DC-484E-83A6-8F92A84D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E3D47"/>
    <w:pPr>
      <w:spacing w:line="240" w:lineRule="auto"/>
    </w:pPr>
    <w:rPr>
      <w:sz w:val="20"/>
      <w:szCs w:val="20"/>
    </w:rPr>
  </w:style>
  <w:style w:type="character" w:customStyle="1" w:styleId="FootnoteTextChar">
    <w:name w:val="Footnote Text Char"/>
    <w:basedOn w:val="DefaultParagraphFont"/>
    <w:link w:val="FootnoteText"/>
    <w:uiPriority w:val="99"/>
    <w:rsid w:val="001E3D47"/>
    <w:rPr>
      <w:sz w:val="20"/>
      <w:szCs w:val="20"/>
    </w:rPr>
  </w:style>
  <w:style w:type="character" w:styleId="FootnoteReference">
    <w:name w:val="footnote reference"/>
    <w:basedOn w:val="DefaultParagraphFont"/>
    <w:uiPriority w:val="99"/>
    <w:unhideWhenUsed/>
    <w:rsid w:val="001E3D47"/>
    <w:rPr>
      <w:vertAlign w:val="superscript"/>
    </w:rPr>
  </w:style>
  <w:style w:type="character" w:styleId="CommentReference">
    <w:name w:val="annotation reference"/>
    <w:basedOn w:val="DefaultParagraphFont"/>
    <w:uiPriority w:val="99"/>
    <w:semiHidden/>
    <w:unhideWhenUsed/>
    <w:rsid w:val="000556CA"/>
    <w:rPr>
      <w:sz w:val="16"/>
      <w:szCs w:val="16"/>
    </w:rPr>
  </w:style>
  <w:style w:type="paragraph" w:styleId="CommentText">
    <w:name w:val="annotation text"/>
    <w:basedOn w:val="Normal"/>
    <w:link w:val="CommentTextChar"/>
    <w:uiPriority w:val="99"/>
    <w:unhideWhenUsed/>
    <w:rsid w:val="000556CA"/>
    <w:pPr>
      <w:spacing w:line="240" w:lineRule="auto"/>
    </w:pPr>
    <w:rPr>
      <w:sz w:val="20"/>
      <w:szCs w:val="20"/>
    </w:rPr>
  </w:style>
  <w:style w:type="character" w:customStyle="1" w:styleId="CommentTextChar">
    <w:name w:val="Comment Text Char"/>
    <w:basedOn w:val="DefaultParagraphFont"/>
    <w:link w:val="CommentText"/>
    <w:uiPriority w:val="99"/>
    <w:rsid w:val="000556CA"/>
    <w:rPr>
      <w:sz w:val="20"/>
      <w:szCs w:val="20"/>
    </w:rPr>
  </w:style>
  <w:style w:type="paragraph" w:styleId="CommentSubject">
    <w:name w:val="annotation subject"/>
    <w:basedOn w:val="CommentText"/>
    <w:next w:val="CommentText"/>
    <w:link w:val="CommentSubjectChar"/>
    <w:uiPriority w:val="99"/>
    <w:semiHidden/>
    <w:unhideWhenUsed/>
    <w:rsid w:val="000556CA"/>
    <w:rPr>
      <w:b/>
      <w:bCs/>
    </w:rPr>
  </w:style>
  <w:style w:type="character" w:customStyle="1" w:styleId="CommentSubjectChar">
    <w:name w:val="Comment Subject Char"/>
    <w:basedOn w:val="CommentTextChar"/>
    <w:link w:val="CommentSubject"/>
    <w:uiPriority w:val="99"/>
    <w:semiHidden/>
    <w:rsid w:val="000556CA"/>
    <w:rPr>
      <w:b/>
      <w:bCs/>
      <w:sz w:val="20"/>
      <w:szCs w:val="20"/>
    </w:rPr>
  </w:style>
  <w:style w:type="paragraph" w:styleId="BalloonText">
    <w:name w:val="Balloon Text"/>
    <w:basedOn w:val="Normal"/>
    <w:link w:val="BalloonTextChar"/>
    <w:uiPriority w:val="99"/>
    <w:semiHidden/>
    <w:unhideWhenUsed/>
    <w:rsid w:val="000556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6CA"/>
    <w:rPr>
      <w:rFonts w:ascii="Segoe UI" w:hAnsi="Segoe UI" w:cs="Segoe UI"/>
      <w:sz w:val="18"/>
      <w:szCs w:val="18"/>
    </w:rPr>
  </w:style>
  <w:style w:type="character" w:styleId="Hyperlink">
    <w:name w:val="Hyperlink"/>
    <w:uiPriority w:val="99"/>
    <w:unhideWhenUsed/>
    <w:rsid w:val="0011271E"/>
    <w:rPr>
      <w:color w:val="0000FF"/>
      <w:u w:val="single"/>
    </w:rPr>
  </w:style>
  <w:style w:type="paragraph" w:styleId="Footer">
    <w:name w:val="footer"/>
    <w:basedOn w:val="Normal"/>
    <w:link w:val="FooterChar"/>
    <w:uiPriority w:val="99"/>
    <w:unhideWhenUsed/>
    <w:rsid w:val="000964B9"/>
    <w:pPr>
      <w:tabs>
        <w:tab w:val="center" w:pos="4680"/>
        <w:tab w:val="right" w:pos="9360"/>
      </w:tabs>
      <w:spacing w:line="240" w:lineRule="auto"/>
    </w:pPr>
  </w:style>
  <w:style w:type="character" w:customStyle="1" w:styleId="FooterChar">
    <w:name w:val="Footer Char"/>
    <w:basedOn w:val="DefaultParagraphFont"/>
    <w:link w:val="Footer"/>
    <w:uiPriority w:val="99"/>
    <w:rsid w:val="000964B9"/>
  </w:style>
  <w:style w:type="character" w:styleId="PageNumber">
    <w:name w:val="page number"/>
    <w:basedOn w:val="DefaultParagraphFont"/>
    <w:uiPriority w:val="99"/>
    <w:semiHidden/>
    <w:unhideWhenUsed/>
    <w:rsid w:val="000964B9"/>
  </w:style>
  <w:style w:type="paragraph" w:styleId="NormalWeb">
    <w:name w:val="Normal (Web)"/>
    <w:basedOn w:val="Normal"/>
    <w:uiPriority w:val="99"/>
    <w:semiHidden/>
    <w:unhideWhenUsed/>
    <w:rsid w:val="00BE3B13"/>
    <w:pPr>
      <w:spacing w:before="100" w:beforeAutospacing="1" w:after="100" w:afterAutospacing="1" w:line="240" w:lineRule="auto"/>
    </w:pPr>
    <w:rPr>
      <w:sz w:val="20"/>
      <w:szCs w:val="20"/>
    </w:rPr>
  </w:style>
  <w:style w:type="paragraph" w:styleId="Revision">
    <w:name w:val="Revision"/>
    <w:hidden/>
    <w:uiPriority w:val="99"/>
    <w:semiHidden/>
    <w:rsid w:val="00D071E2"/>
    <w:pPr>
      <w:spacing w:line="240" w:lineRule="auto"/>
    </w:pPr>
  </w:style>
  <w:style w:type="paragraph" w:styleId="Header">
    <w:name w:val="header"/>
    <w:basedOn w:val="Normal"/>
    <w:link w:val="HeaderChar"/>
    <w:uiPriority w:val="99"/>
    <w:unhideWhenUsed/>
    <w:rsid w:val="005A343A"/>
    <w:pPr>
      <w:tabs>
        <w:tab w:val="center" w:pos="4680"/>
        <w:tab w:val="right" w:pos="9360"/>
      </w:tabs>
      <w:spacing w:line="240" w:lineRule="auto"/>
    </w:pPr>
  </w:style>
  <w:style w:type="character" w:customStyle="1" w:styleId="HeaderChar">
    <w:name w:val="Header Char"/>
    <w:basedOn w:val="DefaultParagraphFont"/>
    <w:link w:val="Header"/>
    <w:uiPriority w:val="99"/>
    <w:rsid w:val="005A343A"/>
  </w:style>
  <w:style w:type="character" w:customStyle="1" w:styleId="UnresolvedMention1">
    <w:name w:val="Unresolved Mention1"/>
    <w:basedOn w:val="DefaultParagraphFont"/>
    <w:uiPriority w:val="99"/>
    <w:semiHidden/>
    <w:unhideWhenUsed/>
    <w:rsid w:val="005A343A"/>
    <w:rPr>
      <w:color w:val="808080"/>
      <w:shd w:val="clear" w:color="auto" w:fill="E6E6E6"/>
    </w:rPr>
  </w:style>
  <w:style w:type="paragraph" w:styleId="EndnoteText">
    <w:name w:val="endnote text"/>
    <w:basedOn w:val="Normal"/>
    <w:link w:val="EndnoteTextChar"/>
    <w:uiPriority w:val="99"/>
    <w:semiHidden/>
    <w:unhideWhenUsed/>
    <w:rsid w:val="000049C8"/>
    <w:pPr>
      <w:spacing w:line="240" w:lineRule="auto"/>
    </w:pPr>
    <w:rPr>
      <w:sz w:val="20"/>
      <w:szCs w:val="20"/>
    </w:rPr>
  </w:style>
  <w:style w:type="character" w:customStyle="1" w:styleId="EndnoteTextChar">
    <w:name w:val="Endnote Text Char"/>
    <w:basedOn w:val="DefaultParagraphFont"/>
    <w:link w:val="EndnoteText"/>
    <w:uiPriority w:val="99"/>
    <w:semiHidden/>
    <w:rsid w:val="000049C8"/>
    <w:rPr>
      <w:sz w:val="20"/>
      <w:szCs w:val="20"/>
    </w:rPr>
  </w:style>
  <w:style w:type="character" w:styleId="EndnoteReference">
    <w:name w:val="endnote reference"/>
    <w:basedOn w:val="DefaultParagraphFont"/>
    <w:uiPriority w:val="99"/>
    <w:semiHidden/>
    <w:unhideWhenUsed/>
    <w:rsid w:val="000049C8"/>
    <w:rPr>
      <w:vertAlign w:val="superscript"/>
    </w:rPr>
  </w:style>
  <w:style w:type="character" w:customStyle="1" w:styleId="UnresolvedMention2">
    <w:name w:val="Unresolved Mention2"/>
    <w:basedOn w:val="DefaultParagraphFont"/>
    <w:uiPriority w:val="99"/>
    <w:semiHidden/>
    <w:unhideWhenUsed/>
    <w:rsid w:val="005F3774"/>
    <w:rPr>
      <w:color w:val="808080"/>
      <w:shd w:val="clear" w:color="auto" w:fill="E6E6E6"/>
    </w:rPr>
  </w:style>
  <w:style w:type="character" w:styleId="FollowedHyperlink">
    <w:name w:val="FollowedHyperlink"/>
    <w:basedOn w:val="DefaultParagraphFont"/>
    <w:uiPriority w:val="99"/>
    <w:semiHidden/>
    <w:unhideWhenUsed/>
    <w:rsid w:val="007A3065"/>
    <w:rPr>
      <w:color w:val="954F72" w:themeColor="followedHyperlink"/>
      <w:u w:val="single"/>
    </w:rPr>
  </w:style>
  <w:style w:type="paragraph" w:styleId="ListParagraph">
    <w:name w:val="List Paragraph"/>
    <w:basedOn w:val="Normal"/>
    <w:uiPriority w:val="34"/>
    <w:qFormat/>
    <w:rsid w:val="00903343"/>
    <w:pPr>
      <w:spacing w:after="160" w:line="240" w:lineRule="auto"/>
      <w:ind w:left="720"/>
      <w:contextualSpacing/>
    </w:pPr>
    <w:rPr>
      <w:rFonts w:cstheme="minorBidi"/>
      <w:szCs w:val="22"/>
    </w:rPr>
  </w:style>
  <w:style w:type="character" w:customStyle="1" w:styleId="UnresolvedMention3">
    <w:name w:val="Unresolved Mention3"/>
    <w:basedOn w:val="DefaultParagraphFont"/>
    <w:uiPriority w:val="99"/>
    <w:semiHidden/>
    <w:unhideWhenUsed/>
    <w:rsid w:val="00055737"/>
    <w:rPr>
      <w:color w:val="605E5C"/>
      <w:shd w:val="clear" w:color="auto" w:fill="E1DFDD"/>
    </w:rPr>
  </w:style>
  <w:style w:type="character" w:styleId="Strong">
    <w:name w:val="Strong"/>
    <w:basedOn w:val="DefaultParagraphFont"/>
    <w:uiPriority w:val="22"/>
    <w:qFormat/>
    <w:rsid w:val="00CB2582"/>
    <w:rPr>
      <w:b/>
      <w:bCs/>
    </w:rPr>
  </w:style>
  <w:style w:type="character" w:styleId="SubtleEmphasis">
    <w:name w:val="Subtle Emphasis"/>
    <w:basedOn w:val="DefaultParagraphFont"/>
    <w:uiPriority w:val="19"/>
    <w:qFormat/>
    <w:rsid w:val="001F08C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7585">
      <w:bodyDiv w:val="1"/>
      <w:marLeft w:val="0"/>
      <w:marRight w:val="0"/>
      <w:marTop w:val="0"/>
      <w:marBottom w:val="0"/>
      <w:divBdr>
        <w:top w:val="none" w:sz="0" w:space="0" w:color="auto"/>
        <w:left w:val="none" w:sz="0" w:space="0" w:color="auto"/>
        <w:bottom w:val="none" w:sz="0" w:space="0" w:color="auto"/>
        <w:right w:val="none" w:sz="0" w:space="0" w:color="auto"/>
      </w:divBdr>
    </w:div>
    <w:div w:id="54665404">
      <w:bodyDiv w:val="1"/>
      <w:marLeft w:val="0"/>
      <w:marRight w:val="0"/>
      <w:marTop w:val="0"/>
      <w:marBottom w:val="0"/>
      <w:divBdr>
        <w:top w:val="none" w:sz="0" w:space="0" w:color="auto"/>
        <w:left w:val="none" w:sz="0" w:space="0" w:color="auto"/>
        <w:bottom w:val="none" w:sz="0" w:space="0" w:color="auto"/>
        <w:right w:val="none" w:sz="0" w:space="0" w:color="auto"/>
      </w:divBdr>
    </w:div>
    <w:div w:id="79496939">
      <w:bodyDiv w:val="1"/>
      <w:marLeft w:val="0"/>
      <w:marRight w:val="0"/>
      <w:marTop w:val="0"/>
      <w:marBottom w:val="0"/>
      <w:divBdr>
        <w:top w:val="none" w:sz="0" w:space="0" w:color="auto"/>
        <w:left w:val="none" w:sz="0" w:space="0" w:color="auto"/>
        <w:bottom w:val="none" w:sz="0" w:space="0" w:color="auto"/>
        <w:right w:val="none" w:sz="0" w:space="0" w:color="auto"/>
      </w:divBdr>
    </w:div>
    <w:div w:id="91901063">
      <w:bodyDiv w:val="1"/>
      <w:marLeft w:val="0"/>
      <w:marRight w:val="0"/>
      <w:marTop w:val="0"/>
      <w:marBottom w:val="0"/>
      <w:divBdr>
        <w:top w:val="none" w:sz="0" w:space="0" w:color="auto"/>
        <w:left w:val="none" w:sz="0" w:space="0" w:color="auto"/>
        <w:bottom w:val="none" w:sz="0" w:space="0" w:color="auto"/>
        <w:right w:val="none" w:sz="0" w:space="0" w:color="auto"/>
      </w:divBdr>
    </w:div>
    <w:div w:id="146017853">
      <w:bodyDiv w:val="1"/>
      <w:marLeft w:val="0"/>
      <w:marRight w:val="0"/>
      <w:marTop w:val="0"/>
      <w:marBottom w:val="0"/>
      <w:divBdr>
        <w:top w:val="none" w:sz="0" w:space="0" w:color="auto"/>
        <w:left w:val="none" w:sz="0" w:space="0" w:color="auto"/>
        <w:bottom w:val="none" w:sz="0" w:space="0" w:color="auto"/>
        <w:right w:val="none" w:sz="0" w:space="0" w:color="auto"/>
      </w:divBdr>
    </w:div>
    <w:div w:id="230165950">
      <w:bodyDiv w:val="1"/>
      <w:marLeft w:val="0"/>
      <w:marRight w:val="0"/>
      <w:marTop w:val="0"/>
      <w:marBottom w:val="0"/>
      <w:divBdr>
        <w:top w:val="none" w:sz="0" w:space="0" w:color="auto"/>
        <w:left w:val="none" w:sz="0" w:space="0" w:color="auto"/>
        <w:bottom w:val="none" w:sz="0" w:space="0" w:color="auto"/>
        <w:right w:val="none" w:sz="0" w:space="0" w:color="auto"/>
      </w:divBdr>
    </w:div>
    <w:div w:id="250745186">
      <w:bodyDiv w:val="1"/>
      <w:marLeft w:val="0"/>
      <w:marRight w:val="0"/>
      <w:marTop w:val="0"/>
      <w:marBottom w:val="0"/>
      <w:divBdr>
        <w:top w:val="none" w:sz="0" w:space="0" w:color="auto"/>
        <w:left w:val="none" w:sz="0" w:space="0" w:color="auto"/>
        <w:bottom w:val="none" w:sz="0" w:space="0" w:color="auto"/>
        <w:right w:val="none" w:sz="0" w:space="0" w:color="auto"/>
      </w:divBdr>
    </w:div>
    <w:div w:id="314988826">
      <w:bodyDiv w:val="1"/>
      <w:marLeft w:val="0"/>
      <w:marRight w:val="0"/>
      <w:marTop w:val="0"/>
      <w:marBottom w:val="0"/>
      <w:divBdr>
        <w:top w:val="none" w:sz="0" w:space="0" w:color="auto"/>
        <w:left w:val="none" w:sz="0" w:space="0" w:color="auto"/>
        <w:bottom w:val="none" w:sz="0" w:space="0" w:color="auto"/>
        <w:right w:val="none" w:sz="0" w:space="0" w:color="auto"/>
      </w:divBdr>
    </w:div>
    <w:div w:id="321550311">
      <w:bodyDiv w:val="1"/>
      <w:marLeft w:val="0"/>
      <w:marRight w:val="0"/>
      <w:marTop w:val="0"/>
      <w:marBottom w:val="0"/>
      <w:divBdr>
        <w:top w:val="none" w:sz="0" w:space="0" w:color="auto"/>
        <w:left w:val="none" w:sz="0" w:space="0" w:color="auto"/>
        <w:bottom w:val="none" w:sz="0" w:space="0" w:color="auto"/>
        <w:right w:val="none" w:sz="0" w:space="0" w:color="auto"/>
      </w:divBdr>
    </w:div>
    <w:div w:id="326175369">
      <w:bodyDiv w:val="1"/>
      <w:marLeft w:val="0"/>
      <w:marRight w:val="0"/>
      <w:marTop w:val="0"/>
      <w:marBottom w:val="0"/>
      <w:divBdr>
        <w:top w:val="none" w:sz="0" w:space="0" w:color="auto"/>
        <w:left w:val="none" w:sz="0" w:space="0" w:color="auto"/>
        <w:bottom w:val="none" w:sz="0" w:space="0" w:color="auto"/>
        <w:right w:val="none" w:sz="0" w:space="0" w:color="auto"/>
      </w:divBdr>
    </w:div>
    <w:div w:id="349911865">
      <w:bodyDiv w:val="1"/>
      <w:marLeft w:val="0"/>
      <w:marRight w:val="0"/>
      <w:marTop w:val="0"/>
      <w:marBottom w:val="0"/>
      <w:divBdr>
        <w:top w:val="none" w:sz="0" w:space="0" w:color="auto"/>
        <w:left w:val="none" w:sz="0" w:space="0" w:color="auto"/>
        <w:bottom w:val="none" w:sz="0" w:space="0" w:color="auto"/>
        <w:right w:val="none" w:sz="0" w:space="0" w:color="auto"/>
      </w:divBdr>
    </w:div>
    <w:div w:id="369570950">
      <w:bodyDiv w:val="1"/>
      <w:marLeft w:val="0"/>
      <w:marRight w:val="0"/>
      <w:marTop w:val="0"/>
      <w:marBottom w:val="0"/>
      <w:divBdr>
        <w:top w:val="none" w:sz="0" w:space="0" w:color="auto"/>
        <w:left w:val="none" w:sz="0" w:space="0" w:color="auto"/>
        <w:bottom w:val="none" w:sz="0" w:space="0" w:color="auto"/>
        <w:right w:val="none" w:sz="0" w:space="0" w:color="auto"/>
      </w:divBdr>
    </w:div>
    <w:div w:id="465316303">
      <w:bodyDiv w:val="1"/>
      <w:marLeft w:val="0"/>
      <w:marRight w:val="0"/>
      <w:marTop w:val="0"/>
      <w:marBottom w:val="0"/>
      <w:divBdr>
        <w:top w:val="none" w:sz="0" w:space="0" w:color="auto"/>
        <w:left w:val="none" w:sz="0" w:space="0" w:color="auto"/>
        <w:bottom w:val="none" w:sz="0" w:space="0" w:color="auto"/>
        <w:right w:val="none" w:sz="0" w:space="0" w:color="auto"/>
      </w:divBdr>
    </w:div>
    <w:div w:id="471990685">
      <w:bodyDiv w:val="1"/>
      <w:marLeft w:val="0"/>
      <w:marRight w:val="0"/>
      <w:marTop w:val="0"/>
      <w:marBottom w:val="0"/>
      <w:divBdr>
        <w:top w:val="none" w:sz="0" w:space="0" w:color="auto"/>
        <w:left w:val="none" w:sz="0" w:space="0" w:color="auto"/>
        <w:bottom w:val="none" w:sz="0" w:space="0" w:color="auto"/>
        <w:right w:val="none" w:sz="0" w:space="0" w:color="auto"/>
      </w:divBdr>
    </w:div>
    <w:div w:id="494734439">
      <w:bodyDiv w:val="1"/>
      <w:marLeft w:val="0"/>
      <w:marRight w:val="0"/>
      <w:marTop w:val="0"/>
      <w:marBottom w:val="0"/>
      <w:divBdr>
        <w:top w:val="none" w:sz="0" w:space="0" w:color="auto"/>
        <w:left w:val="none" w:sz="0" w:space="0" w:color="auto"/>
        <w:bottom w:val="none" w:sz="0" w:space="0" w:color="auto"/>
        <w:right w:val="none" w:sz="0" w:space="0" w:color="auto"/>
      </w:divBdr>
    </w:div>
    <w:div w:id="507985834">
      <w:bodyDiv w:val="1"/>
      <w:marLeft w:val="0"/>
      <w:marRight w:val="0"/>
      <w:marTop w:val="0"/>
      <w:marBottom w:val="0"/>
      <w:divBdr>
        <w:top w:val="none" w:sz="0" w:space="0" w:color="auto"/>
        <w:left w:val="none" w:sz="0" w:space="0" w:color="auto"/>
        <w:bottom w:val="none" w:sz="0" w:space="0" w:color="auto"/>
        <w:right w:val="none" w:sz="0" w:space="0" w:color="auto"/>
      </w:divBdr>
    </w:div>
    <w:div w:id="518937120">
      <w:bodyDiv w:val="1"/>
      <w:marLeft w:val="0"/>
      <w:marRight w:val="0"/>
      <w:marTop w:val="0"/>
      <w:marBottom w:val="0"/>
      <w:divBdr>
        <w:top w:val="none" w:sz="0" w:space="0" w:color="auto"/>
        <w:left w:val="none" w:sz="0" w:space="0" w:color="auto"/>
        <w:bottom w:val="none" w:sz="0" w:space="0" w:color="auto"/>
        <w:right w:val="none" w:sz="0" w:space="0" w:color="auto"/>
      </w:divBdr>
    </w:div>
    <w:div w:id="543104705">
      <w:bodyDiv w:val="1"/>
      <w:marLeft w:val="0"/>
      <w:marRight w:val="0"/>
      <w:marTop w:val="0"/>
      <w:marBottom w:val="0"/>
      <w:divBdr>
        <w:top w:val="none" w:sz="0" w:space="0" w:color="auto"/>
        <w:left w:val="none" w:sz="0" w:space="0" w:color="auto"/>
        <w:bottom w:val="none" w:sz="0" w:space="0" w:color="auto"/>
        <w:right w:val="none" w:sz="0" w:space="0" w:color="auto"/>
      </w:divBdr>
    </w:div>
    <w:div w:id="652291462">
      <w:bodyDiv w:val="1"/>
      <w:marLeft w:val="0"/>
      <w:marRight w:val="0"/>
      <w:marTop w:val="0"/>
      <w:marBottom w:val="0"/>
      <w:divBdr>
        <w:top w:val="none" w:sz="0" w:space="0" w:color="auto"/>
        <w:left w:val="none" w:sz="0" w:space="0" w:color="auto"/>
        <w:bottom w:val="none" w:sz="0" w:space="0" w:color="auto"/>
        <w:right w:val="none" w:sz="0" w:space="0" w:color="auto"/>
      </w:divBdr>
    </w:div>
    <w:div w:id="665476847">
      <w:bodyDiv w:val="1"/>
      <w:marLeft w:val="0"/>
      <w:marRight w:val="0"/>
      <w:marTop w:val="0"/>
      <w:marBottom w:val="0"/>
      <w:divBdr>
        <w:top w:val="none" w:sz="0" w:space="0" w:color="auto"/>
        <w:left w:val="none" w:sz="0" w:space="0" w:color="auto"/>
        <w:bottom w:val="none" w:sz="0" w:space="0" w:color="auto"/>
        <w:right w:val="none" w:sz="0" w:space="0" w:color="auto"/>
      </w:divBdr>
    </w:div>
    <w:div w:id="688874247">
      <w:bodyDiv w:val="1"/>
      <w:marLeft w:val="0"/>
      <w:marRight w:val="0"/>
      <w:marTop w:val="0"/>
      <w:marBottom w:val="0"/>
      <w:divBdr>
        <w:top w:val="none" w:sz="0" w:space="0" w:color="auto"/>
        <w:left w:val="none" w:sz="0" w:space="0" w:color="auto"/>
        <w:bottom w:val="none" w:sz="0" w:space="0" w:color="auto"/>
        <w:right w:val="none" w:sz="0" w:space="0" w:color="auto"/>
      </w:divBdr>
    </w:div>
    <w:div w:id="698625857">
      <w:bodyDiv w:val="1"/>
      <w:marLeft w:val="0"/>
      <w:marRight w:val="0"/>
      <w:marTop w:val="0"/>
      <w:marBottom w:val="0"/>
      <w:divBdr>
        <w:top w:val="none" w:sz="0" w:space="0" w:color="auto"/>
        <w:left w:val="none" w:sz="0" w:space="0" w:color="auto"/>
        <w:bottom w:val="none" w:sz="0" w:space="0" w:color="auto"/>
        <w:right w:val="none" w:sz="0" w:space="0" w:color="auto"/>
      </w:divBdr>
    </w:div>
    <w:div w:id="777138318">
      <w:bodyDiv w:val="1"/>
      <w:marLeft w:val="0"/>
      <w:marRight w:val="0"/>
      <w:marTop w:val="0"/>
      <w:marBottom w:val="0"/>
      <w:divBdr>
        <w:top w:val="none" w:sz="0" w:space="0" w:color="auto"/>
        <w:left w:val="none" w:sz="0" w:space="0" w:color="auto"/>
        <w:bottom w:val="none" w:sz="0" w:space="0" w:color="auto"/>
        <w:right w:val="none" w:sz="0" w:space="0" w:color="auto"/>
      </w:divBdr>
    </w:div>
    <w:div w:id="831220736">
      <w:bodyDiv w:val="1"/>
      <w:marLeft w:val="0"/>
      <w:marRight w:val="0"/>
      <w:marTop w:val="0"/>
      <w:marBottom w:val="0"/>
      <w:divBdr>
        <w:top w:val="none" w:sz="0" w:space="0" w:color="auto"/>
        <w:left w:val="none" w:sz="0" w:space="0" w:color="auto"/>
        <w:bottom w:val="none" w:sz="0" w:space="0" w:color="auto"/>
        <w:right w:val="none" w:sz="0" w:space="0" w:color="auto"/>
      </w:divBdr>
    </w:div>
    <w:div w:id="841045916">
      <w:bodyDiv w:val="1"/>
      <w:marLeft w:val="0"/>
      <w:marRight w:val="0"/>
      <w:marTop w:val="0"/>
      <w:marBottom w:val="0"/>
      <w:divBdr>
        <w:top w:val="none" w:sz="0" w:space="0" w:color="auto"/>
        <w:left w:val="none" w:sz="0" w:space="0" w:color="auto"/>
        <w:bottom w:val="none" w:sz="0" w:space="0" w:color="auto"/>
        <w:right w:val="none" w:sz="0" w:space="0" w:color="auto"/>
      </w:divBdr>
    </w:div>
    <w:div w:id="874777732">
      <w:bodyDiv w:val="1"/>
      <w:marLeft w:val="0"/>
      <w:marRight w:val="0"/>
      <w:marTop w:val="0"/>
      <w:marBottom w:val="0"/>
      <w:divBdr>
        <w:top w:val="none" w:sz="0" w:space="0" w:color="auto"/>
        <w:left w:val="none" w:sz="0" w:space="0" w:color="auto"/>
        <w:bottom w:val="none" w:sz="0" w:space="0" w:color="auto"/>
        <w:right w:val="none" w:sz="0" w:space="0" w:color="auto"/>
      </w:divBdr>
    </w:div>
    <w:div w:id="949971139">
      <w:bodyDiv w:val="1"/>
      <w:marLeft w:val="0"/>
      <w:marRight w:val="0"/>
      <w:marTop w:val="0"/>
      <w:marBottom w:val="0"/>
      <w:divBdr>
        <w:top w:val="none" w:sz="0" w:space="0" w:color="auto"/>
        <w:left w:val="none" w:sz="0" w:space="0" w:color="auto"/>
        <w:bottom w:val="none" w:sz="0" w:space="0" w:color="auto"/>
        <w:right w:val="none" w:sz="0" w:space="0" w:color="auto"/>
      </w:divBdr>
    </w:div>
    <w:div w:id="1024483043">
      <w:bodyDiv w:val="1"/>
      <w:marLeft w:val="0"/>
      <w:marRight w:val="0"/>
      <w:marTop w:val="0"/>
      <w:marBottom w:val="0"/>
      <w:divBdr>
        <w:top w:val="none" w:sz="0" w:space="0" w:color="auto"/>
        <w:left w:val="none" w:sz="0" w:space="0" w:color="auto"/>
        <w:bottom w:val="none" w:sz="0" w:space="0" w:color="auto"/>
        <w:right w:val="none" w:sz="0" w:space="0" w:color="auto"/>
      </w:divBdr>
    </w:div>
    <w:div w:id="1035692008">
      <w:bodyDiv w:val="1"/>
      <w:marLeft w:val="0"/>
      <w:marRight w:val="0"/>
      <w:marTop w:val="0"/>
      <w:marBottom w:val="0"/>
      <w:divBdr>
        <w:top w:val="none" w:sz="0" w:space="0" w:color="auto"/>
        <w:left w:val="none" w:sz="0" w:space="0" w:color="auto"/>
        <w:bottom w:val="none" w:sz="0" w:space="0" w:color="auto"/>
        <w:right w:val="none" w:sz="0" w:space="0" w:color="auto"/>
      </w:divBdr>
    </w:div>
    <w:div w:id="1044644274">
      <w:bodyDiv w:val="1"/>
      <w:marLeft w:val="0"/>
      <w:marRight w:val="0"/>
      <w:marTop w:val="0"/>
      <w:marBottom w:val="0"/>
      <w:divBdr>
        <w:top w:val="none" w:sz="0" w:space="0" w:color="auto"/>
        <w:left w:val="none" w:sz="0" w:space="0" w:color="auto"/>
        <w:bottom w:val="none" w:sz="0" w:space="0" w:color="auto"/>
        <w:right w:val="none" w:sz="0" w:space="0" w:color="auto"/>
      </w:divBdr>
    </w:div>
    <w:div w:id="1172259621">
      <w:bodyDiv w:val="1"/>
      <w:marLeft w:val="0"/>
      <w:marRight w:val="0"/>
      <w:marTop w:val="0"/>
      <w:marBottom w:val="0"/>
      <w:divBdr>
        <w:top w:val="none" w:sz="0" w:space="0" w:color="auto"/>
        <w:left w:val="none" w:sz="0" w:space="0" w:color="auto"/>
        <w:bottom w:val="none" w:sz="0" w:space="0" w:color="auto"/>
        <w:right w:val="none" w:sz="0" w:space="0" w:color="auto"/>
      </w:divBdr>
    </w:div>
    <w:div w:id="1226070756">
      <w:bodyDiv w:val="1"/>
      <w:marLeft w:val="0"/>
      <w:marRight w:val="0"/>
      <w:marTop w:val="0"/>
      <w:marBottom w:val="0"/>
      <w:divBdr>
        <w:top w:val="none" w:sz="0" w:space="0" w:color="auto"/>
        <w:left w:val="none" w:sz="0" w:space="0" w:color="auto"/>
        <w:bottom w:val="none" w:sz="0" w:space="0" w:color="auto"/>
        <w:right w:val="none" w:sz="0" w:space="0" w:color="auto"/>
      </w:divBdr>
      <w:divsChild>
        <w:div w:id="117721702">
          <w:marLeft w:val="0"/>
          <w:marRight w:val="0"/>
          <w:marTop w:val="0"/>
          <w:marBottom w:val="0"/>
          <w:divBdr>
            <w:top w:val="none" w:sz="0" w:space="0" w:color="auto"/>
            <w:left w:val="none" w:sz="0" w:space="0" w:color="auto"/>
            <w:bottom w:val="none" w:sz="0" w:space="0" w:color="auto"/>
            <w:right w:val="none" w:sz="0" w:space="0" w:color="auto"/>
          </w:divBdr>
          <w:divsChild>
            <w:div w:id="1014378369">
              <w:marLeft w:val="0"/>
              <w:marRight w:val="0"/>
              <w:marTop w:val="0"/>
              <w:marBottom w:val="0"/>
              <w:divBdr>
                <w:top w:val="none" w:sz="0" w:space="0" w:color="auto"/>
                <w:left w:val="none" w:sz="0" w:space="0" w:color="auto"/>
                <w:bottom w:val="none" w:sz="0" w:space="0" w:color="auto"/>
                <w:right w:val="none" w:sz="0" w:space="0" w:color="auto"/>
              </w:divBdr>
              <w:divsChild>
                <w:div w:id="20744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83693">
      <w:bodyDiv w:val="1"/>
      <w:marLeft w:val="0"/>
      <w:marRight w:val="0"/>
      <w:marTop w:val="0"/>
      <w:marBottom w:val="0"/>
      <w:divBdr>
        <w:top w:val="none" w:sz="0" w:space="0" w:color="auto"/>
        <w:left w:val="none" w:sz="0" w:space="0" w:color="auto"/>
        <w:bottom w:val="none" w:sz="0" w:space="0" w:color="auto"/>
        <w:right w:val="none" w:sz="0" w:space="0" w:color="auto"/>
      </w:divBdr>
    </w:div>
    <w:div w:id="1235626623">
      <w:bodyDiv w:val="1"/>
      <w:marLeft w:val="0"/>
      <w:marRight w:val="0"/>
      <w:marTop w:val="0"/>
      <w:marBottom w:val="0"/>
      <w:divBdr>
        <w:top w:val="none" w:sz="0" w:space="0" w:color="auto"/>
        <w:left w:val="none" w:sz="0" w:space="0" w:color="auto"/>
        <w:bottom w:val="none" w:sz="0" w:space="0" w:color="auto"/>
        <w:right w:val="none" w:sz="0" w:space="0" w:color="auto"/>
      </w:divBdr>
    </w:div>
    <w:div w:id="1302419805">
      <w:bodyDiv w:val="1"/>
      <w:marLeft w:val="0"/>
      <w:marRight w:val="0"/>
      <w:marTop w:val="0"/>
      <w:marBottom w:val="0"/>
      <w:divBdr>
        <w:top w:val="none" w:sz="0" w:space="0" w:color="auto"/>
        <w:left w:val="none" w:sz="0" w:space="0" w:color="auto"/>
        <w:bottom w:val="none" w:sz="0" w:space="0" w:color="auto"/>
        <w:right w:val="none" w:sz="0" w:space="0" w:color="auto"/>
      </w:divBdr>
    </w:div>
    <w:div w:id="1305815974">
      <w:bodyDiv w:val="1"/>
      <w:marLeft w:val="0"/>
      <w:marRight w:val="0"/>
      <w:marTop w:val="0"/>
      <w:marBottom w:val="0"/>
      <w:divBdr>
        <w:top w:val="none" w:sz="0" w:space="0" w:color="auto"/>
        <w:left w:val="none" w:sz="0" w:space="0" w:color="auto"/>
        <w:bottom w:val="none" w:sz="0" w:space="0" w:color="auto"/>
        <w:right w:val="none" w:sz="0" w:space="0" w:color="auto"/>
      </w:divBdr>
    </w:div>
    <w:div w:id="1307662748">
      <w:bodyDiv w:val="1"/>
      <w:marLeft w:val="0"/>
      <w:marRight w:val="0"/>
      <w:marTop w:val="0"/>
      <w:marBottom w:val="0"/>
      <w:divBdr>
        <w:top w:val="none" w:sz="0" w:space="0" w:color="auto"/>
        <w:left w:val="none" w:sz="0" w:space="0" w:color="auto"/>
        <w:bottom w:val="none" w:sz="0" w:space="0" w:color="auto"/>
        <w:right w:val="none" w:sz="0" w:space="0" w:color="auto"/>
      </w:divBdr>
    </w:div>
    <w:div w:id="1388721000">
      <w:bodyDiv w:val="1"/>
      <w:marLeft w:val="0"/>
      <w:marRight w:val="0"/>
      <w:marTop w:val="0"/>
      <w:marBottom w:val="0"/>
      <w:divBdr>
        <w:top w:val="none" w:sz="0" w:space="0" w:color="auto"/>
        <w:left w:val="none" w:sz="0" w:space="0" w:color="auto"/>
        <w:bottom w:val="none" w:sz="0" w:space="0" w:color="auto"/>
        <w:right w:val="none" w:sz="0" w:space="0" w:color="auto"/>
      </w:divBdr>
    </w:div>
    <w:div w:id="1465541227">
      <w:bodyDiv w:val="1"/>
      <w:marLeft w:val="0"/>
      <w:marRight w:val="0"/>
      <w:marTop w:val="0"/>
      <w:marBottom w:val="0"/>
      <w:divBdr>
        <w:top w:val="none" w:sz="0" w:space="0" w:color="auto"/>
        <w:left w:val="none" w:sz="0" w:space="0" w:color="auto"/>
        <w:bottom w:val="none" w:sz="0" w:space="0" w:color="auto"/>
        <w:right w:val="none" w:sz="0" w:space="0" w:color="auto"/>
      </w:divBdr>
    </w:div>
    <w:div w:id="1488547929">
      <w:bodyDiv w:val="1"/>
      <w:marLeft w:val="0"/>
      <w:marRight w:val="0"/>
      <w:marTop w:val="0"/>
      <w:marBottom w:val="0"/>
      <w:divBdr>
        <w:top w:val="none" w:sz="0" w:space="0" w:color="auto"/>
        <w:left w:val="none" w:sz="0" w:space="0" w:color="auto"/>
        <w:bottom w:val="none" w:sz="0" w:space="0" w:color="auto"/>
        <w:right w:val="none" w:sz="0" w:space="0" w:color="auto"/>
      </w:divBdr>
    </w:div>
    <w:div w:id="1541479450">
      <w:bodyDiv w:val="1"/>
      <w:marLeft w:val="0"/>
      <w:marRight w:val="0"/>
      <w:marTop w:val="0"/>
      <w:marBottom w:val="0"/>
      <w:divBdr>
        <w:top w:val="none" w:sz="0" w:space="0" w:color="auto"/>
        <w:left w:val="none" w:sz="0" w:space="0" w:color="auto"/>
        <w:bottom w:val="none" w:sz="0" w:space="0" w:color="auto"/>
        <w:right w:val="none" w:sz="0" w:space="0" w:color="auto"/>
      </w:divBdr>
    </w:div>
    <w:div w:id="1619406963">
      <w:bodyDiv w:val="1"/>
      <w:marLeft w:val="0"/>
      <w:marRight w:val="0"/>
      <w:marTop w:val="0"/>
      <w:marBottom w:val="0"/>
      <w:divBdr>
        <w:top w:val="none" w:sz="0" w:space="0" w:color="auto"/>
        <w:left w:val="none" w:sz="0" w:space="0" w:color="auto"/>
        <w:bottom w:val="none" w:sz="0" w:space="0" w:color="auto"/>
        <w:right w:val="none" w:sz="0" w:space="0" w:color="auto"/>
      </w:divBdr>
    </w:div>
    <w:div w:id="1620068146">
      <w:bodyDiv w:val="1"/>
      <w:marLeft w:val="0"/>
      <w:marRight w:val="0"/>
      <w:marTop w:val="0"/>
      <w:marBottom w:val="0"/>
      <w:divBdr>
        <w:top w:val="none" w:sz="0" w:space="0" w:color="auto"/>
        <w:left w:val="none" w:sz="0" w:space="0" w:color="auto"/>
        <w:bottom w:val="none" w:sz="0" w:space="0" w:color="auto"/>
        <w:right w:val="none" w:sz="0" w:space="0" w:color="auto"/>
      </w:divBdr>
    </w:div>
    <w:div w:id="1774085344">
      <w:bodyDiv w:val="1"/>
      <w:marLeft w:val="0"/>
      <w:marRight w:val="0"/>
      <w:marTop w:val="0"/>
      <w:marBottom w:val="0"/>
      <w:divBdr>
        <w:top w:val="none" w:sz="0" w:space="0" w:color="auto"/>
        <w:left w:val="none" w:sz="0" w:space="0" w:color="auto"/>
        <w:bottom w:val="none" w:sz="0" w:space="0" w:color="auto"/>
        <w:right w:val="none" w:sz="0" w:space="0" w:color="auto"/>
      </w:divBdr>
    </w:div>
    <w:div w:id="1816683032">
      <w:bodyDiv w:val="1"/>
      <w:marLeft w:val="0"/>
      <w:marRight w:val="0"/>
      <w:marTop w:val="0"/>
      <w:marBottom w:val="0"/>
      <w:divBdr>
        <w:top w:val="none" w:sz="0" w:space="0" w:color="auto"/>
        <w:left w:val="none" w:sz="0" w:space="0" w:color="auto"/>
        <w:bottom w:val="none" w:sz="0" w:space="0" w:color="auto"/>
        <w:right w:val="none" w:sz="0" w:space="0" w:color="auto"/>
      </w:divBdr>
    </w:div>
    <w:div w:id="1855613557">
      <w:bodyDiv w:val="1"/>
      <w:marLeft w:val="0"/>
      <w:marRight w:val="0"/>
      <w:marTop w:val="0"/>
      <w:marBottom w:val="0"/>
      <w:divBdr>
        <w:top w:val="none" w:sz="0" w:space="0" w:color="auto"/>
        <w:left w:val="none" w:sz="0" w:space="0" w:color="auto"/>
        <w:bottom w:val="none" w:sz="0" w:space="0" w:color="auto"/>
        <w:right w:val="none" w:sz="0" w:space="0" w:color="auto"/>
      </w:divBdr>
    </w:div>
    <w:div w:id="1884826153">
      <w:bodyDiv w:val="1"/>
      <w:marLeft w:val="0"/>
      <w:marRight w:val="0"/>
      <w:marTop w:val="0"/>
      <w:marBottom w:val="0"/>
      <w:divBdr>
        <w:top w:val="none" w:sz="0" w:space="0" w:color="auto"/>
        <w:left w:val="none" w:sz="0" w:space="0" w:color="auto"/>
        <w:bottom w:val="none" w:sz="0" w:space="0" w:color="auto"/>
        <w:right w:val="none" w:sz="0" w:space="0" w:color="auto"/>
      </w:divBdr>
    </w:div>
    <w:div w:id="1942175425">
      <w:bodyDiv w:val="1"/>
      <w:marLeft w:val="0"/>
      <w:marRight w:val="0"/>
      <w:marTop w:val="0"/>
      <w:marBottom w:val="0"/>
      <w:divBdr>
        <w:top w:val="none" w:sz="0" w:space="0" w:color="auto"/>
        <w:left w:val="none" w:sz="0" w:space="0" w:color="auto"/>
        <w:bottom w:val="none" w:sz="0" w:space="0" w:color="auto"/>
        <w:right w:val="none" w:sz="0" w:space="0" w:color="auto"/>
      </w:divBdr>
    </w:div>
    <w:div w:id="1954744864">
      <w:bodyDiv w:val="1"/>
      <w:marLeft w:val="0"/>
      <w:marRight w:val="0"/>
      <w:marTop w:val="0"/>
      <w:marBottom w:val="0"/>
      <w:divBdr>
        <w:top w:val="none" w:sz="0" w:space="0" w:color="auto"/>
        <w:left w:val="none" w:sz="0" w:space="0" w:color="auto"/>
        <w:bottom w:val="none" w:sz="0" w:space="0" w:color="auto"/>
        <w:right w:val="none" w:sz="0" w:space="0" w:color="auto"/>
      </w:divBdr>
    </w:div>
    <w:div w:id="2012101889">
      <w:bodyDiv w:val="1"/>
      <w:marLeft w:val="0"/>
      <w:marRight w:val="0"/>
      <w:marTop w:val="0"/>
      <w:marBottom w:val="0"/>
      <w:divBdr>
        <w:top w:val="none" w:sz="0" w:space="0" w:color="auto"/>
        <w:left w:val="none" w:sz="0" w:space="0" w:color="auto"/>
        <w:bottom w:val="none" w:sz="0" w:space="0" w:color="auto"/>
        <w:right w:val="none" w:sz="0" w:space="0" w:color="auto"/>
      </w:divBdr>
    </w:div>
    <w:div w:id="2022703349">
      <w:bodyDiv w:val="1"/>
      <w:marLeft w:val="0"/>
      <w:marRight w:val="0"/>
      <w:marTop w:val="0"/>
      <w:marBottom w:val="0"/>
      <w:divBdr>
        <w:top w:val="none" w:sz="0" w:space="0" w:color="auto"/>
        <w:left w:val="none" w:sz="0" w:space="0" w:color="auto"/>
        <w:bottom w:val="none" w:sz="0" w:space="0" w:color="auto"/>
        <w:right w:val="none" w:sz="0" w:space="0" w:color="auto"/>
      </w:divBdr>
    </w:div>
    <w:div w:id="20227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empiricalscotus.com/2017/09/10/law-schools/" TargetMode="External"/><Relationship Id="rId1" Type="http://schemas.openxmlformats.org/officeDocument/2006/relationships/hyperlink" Target="https://leiterreports.typepad.com/blog/2004/04/where_federal_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14D2B-24DA-455D-8ABA-C727F8B3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9582</Words>
  <Characters>54618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Banks</dc:creator>
  <cp:keywords/>
  <dc:description/>
  <cp:lastModifiedBy>Banks Miller</cp:lastModifiedBy>
  <cp:revision>2</cp:revision>
  <cp:lastPrinted>2020-05-18T23:17:00Z</cp:lastPrinted>
  <dcterms:created xsi:type="dcterms:W3CDTF">2020-05-21T21:52:00Z</dcterms:created>
  <dcterms:modified xsi:type="dcterms:W3CDTF">2020-05-21T21:52:00Z</dcterms:modified>
</cp:coreProperties>
</file>